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tabs>
          <w:tab w:val="right" w:pos="9639"/>
        </w:tabs>
        <w:spacing w:after="0"/>
        <w:outlineLvl w:val="0"/>
        <w:rPr>
          <w:rFonts w:hint="default" w:eastAsia="宋体"/>
          <w:b/>
          <w:sz w:val="24"/>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2</w:t>
      </w:r>
      <w:r>
        <w:rPr>
          <w:b/>
          <w:i/>
          <w:sz w:val="28"/>
        </w:rPr>
        <w:tab/>
      </w:r>
      <w:r>
        <w:rPr>
          <w:rFonts w:hint="eastAsia"/>
          <w:b/>
          <w:sz w:val="24"/>
        </w:rPr>
        <w:t>R4-2</w:t>
      </w:r>
      <w:r>
        <w:rPr>
          <w:rFonts w:hint="eastAsia" w:eastAsia="宋体"/>
          <w:b/>
          <w:sz w:val="24"/>
          <w:lang w:val="en-US" w:eastAsia="zh-CN"/>
        </w:rPr>
        <w:t>411851</w:t>
      </w:r>
    </w:p>
    <w:p>
      <w:pPr>
        <w:pStyle w:val="73"/>
        <w:outlineLvl w:val="0"/>
        <w:rPr>
          <w:b/>
          <w:sz w:val="24"/>
        </w:rPr>
      </w:pPr>
      <w:r>
        <w:rPr>
          <w:rFonts w:hint="eastAsia" w:eastAsia="宋体" w:cs="Arial"/>
          <w:b/>
          <w:sz w:val="24"/>
          <w:szCs w:val="24"/>
          <w:lang w:val="en-US" w:eastAsia="zh-CN"/>
        </w:rPr>
        <w:t>Maastricht,</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Netherlands</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19</w:t>
      </w:r>
      <w:r>
        <w:rPr>
          <w:rFonts w:hint="eastAsia" w:ascii="Arial" w:hAnsi="Arial" w:eastAsia="宋体" w:cs="Arial"/>
          <w:b/>
          <w:sz w:val="24"/>
          <w:szCs w:val="24"/>
          <w:lang w:eastAsia="zh-CN"/>
        </w:rPr>
        <w:t>th–</w:t>
      </w:r>
      <w:r>
        <w:rPr>
          <w:rFonts w:hint="eastAsia" w:cs="Arial"/>
          <w:b/>
          <w:sz w:val="24"/>
          <w:szCs w:val="24"/>
          <w:lang w:val="en-US" w:eastAsia="zh-CN"/>
        </w:rPr>
        <w:t>23rd</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Aug</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0" w:name="OLE_LINK14"/>
      <w:bookmarkStart w:id="1" w:name="OLE_LINK8"/>
      <w:r>
        <w:rPr>
          <w:rFonts w:hint="eastAsia" w:ascii="Arial" w:hAnsi="Arial"/>
          <w:b/>
          <w:sz w:val="24"/>
          <w:highlight w:val="none"/>
          <w:lang w:val="en-US" w:eastAsia="zh-CN"/>
        </w:rPr>
        <w:t>D</w:t>
      </w:r>
      <w:r>
        <w:rPr>
          <w:rStyle w:val="60"/>
          <w:rFonts w:hint="eastAsia"/>
          <w:b/>
          <w:highlight w:val="none"/>
          <w:lang w:val="pt-BR" w:eastAsia="zh-CN"/>
        </w:rPr>
        <w:t xml:space="preserve">iscussion on </w:t>
      </w:r>
      <w:bookmarkEnd w:id="0"/>
      <w:bookmarkEnd w:id="1"/>
      <w:r>
        <w:rPr>
          <w:rStyle w:val="60"/>
          <w:rFonts w:hint="eastAsia"/>
          <w:b/>
          <w:highlight w:val="none"/>
          <w:lang w:val="en-US" w:eastAsia="zh-CN"/>
        </w:rPr>
        <w:t>power domain enhancements for single carrier</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8.1.1.2.1</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default"/>
          <w:i w:val="0"/>
          <w:iCs w:val="0"/>
          <w:sz w:val="20"/>
          <w:szCs w:val="20"/>
          <w:lang w:val="en-US" w:eastAsia="zh-CN"/>
        </w:rPr>
        <w:t>In RAN#102 meeting, a new Work Item [1] was approved on UE RF enhancements for NR FR1/FR2 and EN-DC, Phase 4, one of the objectives is about power boosting and/or MPR reduction as follows. In this contribution, we want to share some further views on power domain enhancements for single carrier.</w:t>
      </w:r>
    </w:p>
    <w:tbl>
      <w:tblPr>
        <w:tblStyle w:val="24"/>
        <w:tblW w:w="0" w:type="auto"/>
        <w:tblInd w:w="2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4" w:type="dxa"/>
          </w:tcPr>
          <w:p>
            <w:pPr>
              <w:pStyle w:val="34"/>
              <w:numPr>
                <w:ilvl w:val="0"/>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Specify</w:t>
            </w:r>
            <w:r>
              <w:rPr>
                <w:rFonts w:ascii="Times New Roman" w:hAnsi="Times New Roman" w:cs="Times New Roman"/>
                <w:sz w:val="20"/>
                <w:szCs w:val="20"/>
              </w:rPr>
              <w:t xml:space="preserve"> power domain enhancement, e.g., MPR reduction for NR single carrier and NR intra-band UL CA</w:t>
            </w:r>
          </w:p>
          <w:p>
            <w:pPr>
              <w:pStyle w:val="34"/>
              <w:numPr>
                <w:ilvl w:val="1"/>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 xml:space="preserve">Study </w:t>
            </w:r>
            <w:r>
              <w:rPr>
                <w:rFonts w:ascii="Times New Roman" w:hAnsi="Times New Roman" w:cs="Times New Roman"/>
                <w:sz w:val="20"/>
                <w:szCs w:val="20"/>
              </w:rPr>
              <w:t xml:space="preserve">the scenarios, </w:t>
            </w:r>
            <w:r>
              <w:rPr>
                <w:rFonts w:hint="eastAsia" w:ascii="Times New Roman" w:hAnsi="Times New Roman" w:cs="Times New Roman"/>
                <w:sz w:val="20"/>
                <w:szCs w:val="20"/>
              </w:rPr>
              <w:t>and</w:t>
            </w:r>
            <w:r>
              <w:rPr>
                <w:rFonts w:ascii="Times New Roman" w:hAnsi="Times New Roman" w:cs="Times New Roman"/>
                <w:sz w:val="20"/>
                <w:szCs w:val="20"/>
              </w:rPr>
              <w:t xml:space="preserve"> if feasible,</w:t>
            </w:r>
            <w:r>
              <w:rPr>
                <w:rFonts w:hint="eastAsia" w:ascii="Times New Roman" w:hAnsi="Times New Roman" w:cs="Times New Roman"/>
                <w:sz w:val="20"/>
                <w:szCs w:val="20"/>
              </w:rPr>
              <w:t xml:space="preserve"> sp</w:t>
            </w:r>
            <w:r>
              <w:rPr>
                <w:rFonts w:ascii="Times New Roman" w:hAnsi="Times New Roman" w:cs="Times New Roman"/>
                <w:sz w:val="20"/>
                <w:szCs w:val="20"/>
              </w:rPr>
              <w:t>ecify the power domain enhancement, e.g., MPR reduction, for PC2 and PC3 with applicable ACLR/SEM/spurious emission modification with BS indication for NR FR1 on a single UL carrier</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Include t</w:t>
            </w:r>
            <w:r>
              <w:rPr>
                <w:rFonts w:hint="eastAsia" w:ascii="Times New Roman" w:hAnsi="Times New Roman" w:cs="Times New Roman"/>
                <w:sz w:val="20"/>
                <w:szCs w:val="20"/>
              </w:rPr>
              <w:t xml:space="preserve">he </w:t>
            </w:r>
            <w:bookmarkStart w:id="2" w:name="OLE_LINK6"/>
            <w:r>
              <w:rPr>
                <w:rFonts w:hint="eastAsia" w:ascii="Times New Roman" w:hAnsi="Times New Roman" w:cs="Times New Roman"/>
                <w:sz w:val="20"/>
                <w:szCs w:val="20"/>
              </w:rPr>
              <w:t>following scenarios</w:t>
            </w:r>
            <w:r>
              <w:rPr>
                <w:rFonts w:ascii="Times New Roman" w:hAnsi="Times New Roman" w:cs="Times New Roman"/>
                <w:sz w:val="20"/>
                <w:szCs w:val="20"/>
              </w:rPr>
              <w:t>:</w:t>
            </w:r>
          </w:p>
          <w:p>
            <w:pPr>
              <w:pStyle w:val="34"/>
              <w:numPr>
                <w:ilvl w:val="3"/>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when there is no</w:t>
            </w:r>
            <w:r>
              <w:rPr>
                <w:rFonts w:ascii="Times New Roman" w:hAnsi="Times New Roman" w:cs="Times New Roman"/>
                <w:sz w:val="20"/>
                <w:szCs w:val="20"/>
              </w:rPr>
              <w:t xml:space="preserve"> adjacent</w:t>
            </w:r>
            <w:r>
              <w:rPr>
                <w:rFonts w:hint="eastAsia" w:ascii="Times New Roman" w:hAnsi="Times New Roman" w:cs="Times New Roman"/>
                <w:sz w:val="20"/>
                <w:szCs w:val="20"/>
              </w:rPr>
              <w:t xml:space="preserve"> </w:t>
            </w:r>
            <w:r>
              <w:rPr>
                <w:rFonts w:ascii="Times New Roman" w:hAnsi="Times New Roman" w:cs="Times New Roman"/>
                <w:sz w:val="20"/>
                <w:szCs w:val="20"/>
              </w:rPr>
              <w:t>in-band/out-of-band co-existence issue</w:t>
            </w:r>
          </w:p>
          <w:p>
            <w:pPr>
              <w:pStyle w:val="34"/>
              <w:numPr>
                <w:ilvl w:val="3"/>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when a UE uses a narrower channel bandwidth within a wider BS bandwidth</w:t>
            </w:r>
          </w:p>
          <w:bookmarkEnd w:id="2"/>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Include</w:t>
            </w:r>
            <w:r>
              <w:rPr>
                <w:rFonts w:hint="eastAsia" w:ascii="Times New Roman" w:hAnsi="Times New Roman" w:cs="Times New Roman"/>
                <w:sz w:val="20"/>
                <w:szCs w:val="20"/>
              </w:rPr>
              <w:t xml:space="preserve"> </w:t>
            </w:r>
            <w:r>
              <w:rPr>
                <w:rFonts w:ascii="Times New Roman" w:hAnsi="Times New Roman" w:cs="Times New Roman"/>
                <w:sz w:val="20"/>
                <w:szCs w:val="20"/>
              </w:rPr>
              <w:t>b</w:t>
            </w:r>
            <w:r>
              <w:rPr>
                <w:rFonts w:hint="eastAsia" w:ascii="Times New Roman" w:hAnsi="Times New Roman" w:cs="Times New Roman"/>
                <w:sz w:val="20"/>
                <w:szCs w:val="20"/>
              </w:rPr>
              <w:t xml:space="preserve">oth </w:t>
            </w:r>
            <w:r>
              <w:rPr>
                <w:rFonts w:ascii="Times New Roman" w:hAnsi="Times New Roman" w:cs="Times New Roman"/>
                <w:sz w:val="20"/>
                <w:szCs w:val="20"/>
              </w:rPr>
              <w:t>(e)</w:t>
            </w:r>
            <w:r>
              <w:rPr>
                <w:rFonts w:hint="eastAsia" w:ascii="Times New Roman" w:hAnsi="Times New Roman" w:cs="Times New Roman"/>
                <w:sz w:val="20"/>
                <w:szCs w:val="20"/>
              </w:rPr>
              <w:t>RedCap UE</w:t>
            </w:r>
            <w:r>
              <w:rPr>
                <w:rFonts w:ascii="Times New Roman" w:hAnsi="Times New Roman" w:cs="Times New Roman"/>
                <w:sz w:val="20"/>
                <w:szCs w:val="20"/>
              </w:rPr>
              <w:t xml:space="preserve"> (only PC3)</w:t>
            </w:r>
            <w:r>
              <w:rPr>
                <w:rFonts w:hint="eastAsia" w:ascii="Times New Roman" w:hAnsi="Times New Roman" w:cs="Times New Roman"/>
                <w:sz w:val="20"/>
                <w:szCs w:val="20"/>
              </w:rPr>
              <w:t xml:space="preserve"> and non-RedCap UE</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Limited to QSPK and 16QAM</w:t>
            </w:r>
          </w:p>
          <w:p>
            <w:pPr>
              <w:pStyle w:val="34"/>
              <w:numPr>
                <w:ilvl w:val="1"/>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 xml:space="preserve">Specify </w:t>
            </w:r>
            <w:bookmarkStart w:id="3" w:name="OLE_LINK11"/>
            <w:r>
              <w:rPr>
                <w:rFonts w:ascii="Times New Roman" w:hAnsi="Times New Roman" w:cs="Times New Roman"/>
                <w:sz w:val="20"/>
                <w:szCs w:val="20"/>
              </w:rPr>
              <w:t xml:space="preserve">MPR applicability based on the UL CCs with activated cells </w:t>
            </w:r>
            <w:bookmarkEnd w:id="3"/>
            <w:r>
              <w:rPr>
                <w:rFonts w:ascii="Times New Roman" w:hAnsi="Times New Roman" w:cs="Times New Roman"/>
                <w:sz w:val="20"/>
                <w:szCs w:val="20"/>
              </w:rPr>
              <w:t>for NR intra-band UL CA configuration</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 xml:space="preserve">Include both intra-band UL </w:t>
            </w:r>
            <w:r>
              <w:rPr>
                <w:rFonts w:ascii="Times New Roman" w:hAnsi="Times New Roman" w:cs="Times New Roman"/>
                <w:sz w:val="20"/>
                <w:szCs w:val="20"/>
              </w:rPr>
              <w:t>contiguous</w:t>
            </w:r>
            <w:r>
              <w:rPr>
                <w:rFonts w:hint="eastAsia" w:ascii="Times New Roman" w:hAnsi="Times New Roman" w:cs="Times New Roman"/>
                <w:sz w:val="20"/>
                <w:szCs w:val="20"/>
              </w:rPr>
              <w:t xml:space="preserve"> </w:t>
            </w:r>
            <w:r>
              <w:rPr>
                <w:rFonts w:ascii="Times New Roman" w:hAnsi="Times New Roman" w:cs="Times New Roman"/>
                <w:sz w:val="20"/>
                <w:szCs w:val="20"/>
              </w:rPr>
              <w:t>CA and intra-band non-contiguous UL CA for FR1</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Include intra-band UL contiguous CA and intra-band DL contiguous CA with single UL for FR2</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 xml:space="preserve">MPR requirement is not applicable until the </w:t>
            </w:r>
            <w:bookmarkStart w:id="4" w:name="OLE_LINK13"/>
            <w:r>
              <w:rPr>
                <w:rFonts w:ascii="Times New Roman" w:hAnsi="Times New Roman" w:cs="Times New Roman"/>
                <w:sz w:val="20"/>
                <w:szCs w:val="20"/>
              </w:rPr>
              <w:t>SCell is activated</w:t>
            </w:r>
            <w:bookmarkEnd w:id="4"/>
          </w:p>
          <w:p>
            <w:pPr>
              <w:pStyle w:val="34"/>
              <w:numPr>
                <w:ilvl w:val="1"/>
                <w:numId w:val="8"/>
              </w:numPr>
              <w:overflowPunct w:val="0"/>
              <w:autoSpaceDE w:val="0"/>
              <w:autoSpaceDN w:val="0"/>
              <w:adjustRightInd w:val="0"/>
              <w:spacing w:after="180"/>
              <w:ind w:firstLineChars="0"/>
              <w:jc w:val="left"/>
              <w:textAlignment w:val="baseline"/>
              <w:rPr>
                <w:rFonts w:hint="default" w:eastAsia="宋体"/>
                <w:i w:val="0"/>
                <w:iCs w:val="0"/>
                <w:sz w:val="20"/>
                <w:szCs w:val="20"/>
                <w:vertAlign w:val="baseline"/>
                <w:lang w:val="en-US" w:eastAsia="zh-CN"/>
              </w:rPr>
            </w:pPr>
            <w:r>
              <w:rPr>
                <w:rFonts w:ascii="Times New Roman" w:hAnsi="Times New Roman" w:cs="Times New Roman"/>
                <w:sz w:val="20"/>
                <w:szCs w:val="20"/>
              </w:rPr>
              <w:t>Necessary signaling to support the above objectives</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eastAsia"/>
          <w:lang w:val="en-US" w:eastAsia="zh-CN"/>
        </w:rPr>
      </w:pPr>
      <w:r>
        <w:rPr>
          <w:rFonts w:hint="eastAsia"/>
          <w:lang w:val="en-US" w:eastAsia="zh-CN"/>
        </w:rPr>
        <w:t>2.1 Consideration on relaxation of requirements for identified scenarios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
              <w:numPr>
                <w:ilvl w:val="1"/>
                <w:numId w:val="0"/>
              </w:numPr>
              <w:overflowPunct w:val="0"/>
              <w:autoSpaceDE w:val="0"/>
              <w:autoSpaceDN w:val="0"/>
              <w:adjustRightInd w:val="0"/>
              <w:ind w:leftChars="0" w:right="0" w:rightChars="0"/>
              <w:textAlignment w:val="baseline"/>
              <w:rPr>
                <w:sz w:val="20"/>
                <w:szCs w:val="20"/>
                <w:lang w:eastAsia="zh-CN"/>
              </w:rPr>
            </w:pPr>
            <w:r>
              <w:rPr>
                <w:sz w:val="20"/>
                <w:szCs w:val="20"/>
              </w:rPr>
              <w:t>1.1 Consideration on relaxation of requirements for identified scenarios</w:t>
            </w:r>
          </w:p>
          <w:p>
            <w:pPr>
              <w:pStyle w:val="47"/>
              <w:overflowPunct w:val="0"/>
              <w:autoSpaceDE w:val="0"/>
              <w:autoSpaceDN w:val="0"/>
              <w:adjustRightInd w:val="0"/>
              <w:spacing w:after="180"/>
              <w:ind w:left="0" w:firstLine="0"/>
              <w:textAlignment w:val="baseline"/>
              <w:rPr>
                <w:b/>
                <w:sz w:val="20"/>
                <w:szCs w:val="20"/>
                <w:lang w:eastAsia="zh-CN"/>
              </w:rPr>
            </w:pPr>
            <w:r>
              <w:rPr>
                <w:b/>
                <w:sz w:val="20"/>
                <w:szCs w:val="20"/>
                <w:lang w:eastAsia="zh-CN"/>
              </w:rPr>
              <w:t xml:space="preserve">Agreement in main session: </w:t>
            </w:r>
          </w:p>
          <w:p>
            <w:pPr>
              <w:pStyle w:val="34"/>
              <w:numPr>
                <w:ilvl w:val="0"/>
                <w:numId w:val="9"/>
              </w:numPr>
              <w:overflowPunct w:val="0"/>
              <w:autoSpaceDE w:val="0"/>
              <w:autoSpaceDN w:val="0"/>
              <w:adjustRightInd w:val="0"/>
              <w:spacing w:after="180"/>
              <w:ind w:firstLineChars="0"/>
              <w:textAlignment w:val="baseline"/>
              <w:rPr>
                <w:iCs/>
                <w:sz w:val="20"/>
                <w:szCs w:val="20"/>
                <w:lang w:eastAsia="zh-CN"/>
              </w:rPr>
            </w:pPr>
            <w:r>
              <w:rPr>
                <w:rFonts w:eastAsiaTheme="minorEastAsia"/>
                <w:iCs/>
                <w:sz w:val="20"/>
                <w:szCs w:val="20"/>
                <w:lang w:eastAsia="zh-CN"/>
              </w:rPr>
              <w:t xml:space="preserve">No relaxation of level of spurious emission requirements </w:t>
            </w:r>
          </w:p>
          <w:p>
            <w:pPr>
              <w:pStyle w:val="34"/>
              <w:numPr>
                <w:ilvl w:val="1"/>
                <w:numId w:val="9"/>
              </w:numPr>
              <w:overflowPunct w:val="0"/>
              <w:autoSpaceDE w:val="0"/>
              <w:autoSpaceDN w:val="0"/>
              <w:adjustRightInd w:val="0"/>
              <w:spacing w:after="180"/>
              <w:ind w:firstLineChars="0"/>
              <w:textAlignment w:val="baseline"/>
              <w:rPr>
                <w:rFonts w:hint="default"/>
                <w:b/>
                <w:bCs/>
                <w:i/>
                <w:iCs/>
                <w:sz w:val="20"/>
                <w:szCs w:val="20"/>
                <w:vertAlign w:val="baseline"/>
                <w:lang w:val="en-US" w:eastAsia="zh-CN"/>
              </w:rPr>
            </w:pPr>
            <w:r>
              <w:rPr>
                <w:rFonts w:hint="eastAsia" w:eastAsiaTheme="minorEastAsia"/>
                <w:iCs/>
                <w:sz w:val="20"/>
                <w:szCs w:val="20"/>
                <w:lang w:eastAsia="zh-CN"/>
              </w:rPr>
              <w:t>F</w:t>
            </w:r>
            <w:r>
              <w:rPr>
                <w:rFonts w:eastAsiaTheme="minorEastAsia"/>
                <w:iCs/>
                <w:sz w:val="20"/>
                <w:szCs w:val="20"/>
                <w:lang w:eastAsia="zh-CN"/>
              </w:rPr>
              <w:t>FS on whether to change the spurious emission boundary</w:t>
            </w:r>
          </w:p>
        </w:tc>
      </w:tr>
    </w:tbl>
    <w:p>
      <w:pPr>
        <w:rPr>
          <w:rFonts w:hint="default" w:cs="Times New Roman"/>
          <w:sz w:val="20"/>
          <w:szCs w:val="20"/>
          <w:lang w:val="en-US" w:eastAsia="zh-CN"/>
        </w:rPr>
      </w:pPr>
      <w:r>
        <w:rPr>
          <w:rFonts w:hint="eastAsia"/>
          <w:sz w:val="20"/>
          <w:szCs w:val="20"/>
          <w:lang w:val="en-US" w:eastAsia="zh-CN"/>
        </w:rPr>
        <w:t>In last meeting, an agreement was reached that the level of spurious emission requirements can</w:t>
      </w:r>
      <w:r>
        <w:rPr>
          <w:rFonts w:hint="default"/>
          <w:sz w:val="20"/>
          <w:szCs w:val="20"/>
          <w:lang w:val="en-US" w:eastAsia="zh-CN"/>
        </w:rPr>
        <w:t>’</w:t>
      </w:r>
      <w:r>
        <w:rPr>
          <w:rFonts w:hint="eastAsia"/>
          <w:sz w:val="20"/>
          <w:szCs w:val="20"/>
          <w:lang w:val="en-US" w:eastAsia="zh-CN"/>
        </w:rPr>
        <w:t xml:space="preserve">t be relaxed, but whether to relax the spurious emission boundary needs further discussion. </w:t>
      </w:r>
      <w:r>
        <w:rPr>
          <w:rFonts w:hint="eastAsia" w:cs="Times New Roman"/>
          <w:sz w:val="20"/>
          <w:szCs w:val="20"/>
          <w:lang w:val="en-US" w:eastAsia="zh-CN"/>
        </w:rPr>
        <w:t>Spurious emission requirements are emissions which are caused by unwanted transmitter effects such as harmonics emission, parasitic emissions, intermodulation products and frequency conversion products, but exclude out of band emissions. It typically originates from regulatory body such as ITU-R recommendation SM.329. According to TS 36.803, the general spurious emission requirements and the corresponding reference bandwidths are taken from ITU-SM.329 for both the UE and the BS. The stricter Category B requirements were selected for the UE, to allow for global circulation of terminals. Regarding OOB boundary, it is defined as BW</w:t>
      </w:r>
      <w:r>
        <w:rPr>
          <w:rFonts w:hint="eastAsia" w:cs="Times New Roman"/>
          <w:sz w:val="20"/>
          <w:szCs w:val="20"/>
          <w:vertAlign w:val="subscript"/>
          <w:lang w:val="en-US" w:eastAsia="zh-CN"/>
        </w:rPr>
        <w:t>channel</w:t>
      </w:r>
      <w:r>
        <w:rPr>
          <w:rFonts w:hint="eastAsia" w:cs="Times New Roman"/>
          <w:sz w:val="20"/>
          <w:szCs w:val="20"/>
          <w:lang w:val="en-US" w:eastAsia="zh-CN"/>
        </w:rPr>
        <w:t xml:space="preserve"> +5 MHz between NR out of band and general spurious emission domain in TS 38.101-1. While, ITU-SM.329 and ITU-R SM.1541 specify the boundary between the OOB and spurious domains is the frequency separated from the centre frequency of the emission by 250% of the necessary bandwidth of the emission for normal case, and 150% of the necessary bandwidth plus the upper threshold of the necessary bandwidth for wideband case. The frequency separation between the centre frequency and the boundary of the spurious domain are listed in Table 2.1-1, which is partially copied from ITU-R SM.1539 TABLE 2. </w:t>
      </w:r>
      <w:r>
        <w:rPr>
          <w:rFonts w:hint="eastAsia" w:cs="Times New Roman"/>
          <w:i/>
          <w:iCs/>
          <w:sz w:val="20"/>
          <w:szCs w:val="20"/>
          <w:lang w:val="en-US" w:eastAsia="zh-CN"/>
        </w:rPr>
        <w:t>B</w:t>
      </w:r>
      <w:r>
        <w:rPr>
          <w:rFonts w:hint="eastAsia" w:cs="Times New Roman"/>
          <w:i/>
          <w:iCs/>
          <w:sz w:val="20"/>
          <w:szCs w:val="20"/>
          <w:vertAlign w:val="subscript"/>
          <w:lang w:val="en-US" w:eastAsia="zh-CN"/>
        </w:rPr>
        <w:t>N</w:t>
      </w:r>
      <w:r>
        <w:rPr>
          <w:rFonts w:hint="eastAsia" w:cs="Times New Roman"/>
          <w:sz w:val="20"/>
          <w:szCs w:val="20"/>
          <w:lang w:val="en-US" w:eastAsia="zh-CN"/>
        </w:rPr>
        <w:t xml:space="preserve"> means the necessary bandwidth corresponding to BW</w:t>
      </w:r>
      <w:r>
        <w:rPr>
          <w:rFonts w:hint="eastAsia" w:cs="Times New Roman"/>
          <w:sz w:val="20"/>
          <w:szCs w:val="20"/>
          <w:vertAlign w:val="subscript"/>
          <w:lang w:val="en-US" w:eastAsia="zh-CN"/>
        </w:rPr>
        <w:t>channel</w:t>
      </w:r>
      <w:r>
        <w:rPr>
          <w:rFonts w:hint="eastAsia" w:cs="Times New Roman"/>
          <w:sz w:val="20"/>
          <w:szCs w:val="20"/>
          <w:lang w:val="en-US" w:eastAsia="zh-CN"/>
        </w:rPr>
        <w:t xml:space="preserve"> and </w:t>
      </w:r>
      <w:r>
        <w:rPr>
          <w:rFonts w:hint="eastAsia" w:cs="Times New Roman"/>
          <w:i/>
          <w:iCs/>
          <w:sz w:val="20"/>
          <w:szCs w:val="20"/>
          <w:lang w:val="en-US" w:eastAsia="zh-CN"/>
        </w:rPr>
        <w:t>B</w:t>
      </w:r>
      <w:r>
        <w:rPr>
          <w:rFonts w:hint="eastAsia" w:cs="Times New Roman"/>
          <w:i/>
          <w:iCs/>
          <w:sz w:val="20"/>
          <w:szCs w:val="20"/>
          <w:vertAlign w:val="subscript"/>
          <w:lang w:val="en-US" w:eastAsia="zh-CN"/>
        </w:rPr>
        <w:t>U</w:t>
      </w:r>
      <w:r>
        <w:rPr>
          <w:rFonts w:hint="eastAsia" w:cs="Times New Roman"/>
          <w:sz w:val="20"/>
          <w:szCs w:val="20"/>
          <w:lang w:val="en-US" w:eastAsia="zh-CN"/>
        </w:rPr>
        <w:t xml:space="preserve"> means the upper threshold of the necessary bandwidth. </w:t>
      </w:r>
      <w:r>
        <w:rPr>
          <w:rFonts w:hint="eastAsia" w:cs="Times New Roman"/>
          <w:i/>
          <w:iCs/>
          <w:sz w:val="20"/>
          <w:szCs w:val="20"/>
          <w:lang w:val="en-US" w:eastAsia="zh-CN"/>
        </w:rPr>
        <w:t>f</w:t>
      </w:r>
      <w:r>
        <w:rPr>
          <w:rFonts w:hint="eastAsia" w:cs="Times New Roman"/>
          <w:i/>
          <w:iCs/>
          <w:sz w:val="20"/>
          <w:szCs w:val="20"/>
          <w:vertAlign w:val="subscript"/>
          <w:lang w:val="en-US" w:eastAsia="zh-CN"/>
        </w:rPr>
        <w:t>c</w:t>
      </w:r>
      <w:r>
        <w:rPr>
          <w:rFonts w:hint="eastAsia" w:cs="Times New Roman"/>
          <w:sz w:val="20"/>
          <w:szCs w:val="20"/>
          <w:lang w:val="en-US" w:eastAsia="zh-CN"/>
        </w:rPr>
        <w:t xml:space="preserve"> is the centre frequency of the necessary bandwidth of an emission. And we turn it to the frequency separation between the channel edge and the boundary of the spurious domain as Table 2.1-2 for facilitating to compare the difference of the OOB boundary definition between TS 38.101-1 and ITU regulations. </w:t>
      </w:r>
    </w:p>
    <w:p>
      <w:pPr>
        <w:jc w:val="center"/>
        <w:rPr>
          <w:rFonts w:hint="default" w:cs="Times New Roman"/>
          <w:b/>
          <w:bCs/>
          <w:sz w:val="20"/>
          <w:szCs w:val="20"/>
          <w:lang w:val="en-US" w:eastAsia="zh-CN"/>
        </w:rPr>
      </w:pPr>
      <w:r>
        <w:rPr>
          <w:rFonts w:hint="eastAsia" w:cs="Times New Roman"/>
          <w:b/>
          <w:bCs/>
          <w:sz w:val="20"/>
          <w:szCs w:val="20"/>
          <w:lang w:val="en-US" w:eastAsia="zh-CN"/>
        </w:rPr>
        <w:t>Table 2.1-1: Frequency separation between the centre frequency and the boundary of the spurious domain (ITU-R SM.1539 TABLE 2)</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9"/>
        <w:gridCol w:w="2469"/>
        <w:gridCol w:w="2469"/>
        <w:gridCol w:w="2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vAlign w:val="center"/>
          </w:tcPr>
          <w:p>
            <w:pPr>
              <w:keepNext w:val="0"/>
              <w:keepLines w:val="0"/>
              <w:pageBreakBefore w:val="0"/>
              <w:widowControl/>
              <w:kinsoku/>
              <w:wordWrap/>
              <w:overflowPunct/>
              <w:topLinePunct w:val="0"/>
              <w:autoSpaceDE/>
              <w:autoSpaceDN/>
              <w:bidi w:val="0"/>
              <w:adjustRightInd/>
              <w:snapToGrid w:val="0"/>
              <w:spacing w:before="60" w:beforeLines="0" w:after="60" w:afterLines="0" w:line="240" w:lineRule="auto"/>
              <w:jc w:val="center"/>
              <w:textAlignment w:val="auto"/>
              <w:rPr>
                <w:rFonts w:hint="default" w:cs="Times New Roman"/>
                <w:sz w:val="20"/>
                <w:szCs w:val="20"/>
                <w:lang w:val="en-US" w:eastAsia="zh-CN"/>
              </w:rPr>
            </w:pPr>
            <w:r>
              <w:rPr>
                <w:rFonts w:hint="eastAsia" w:cs="Times New Roman"/>
                <w:sz w:val="20"/>
                <w:szCs w:val="20"/>
                <w:lang w:val="en-US" w:eastAsia="zh-CN"/>
              </w:rPr>
              <w:t>Frequency range</w:t>
            </w:r>
          </w:p>
        </w:tc>
        <w:tc>
          <w:tcPr>
            <w:tcW w:w="2469" w:type="dxa"/>
            <w:vAlign w:val="center"/>
          </w:tcPr>
          <w:p>
            <w:pPr>
              <w:keepNext w:val="0"/>
              <w:keepLines w:val="0"/>
              <w:pageBreakBefore w:val="0"/>
              <w:widowControl/>
              <w:kinsoku/>
              <w:wordWrap/>
              <w:overflowPunct/>
              <w:topLinePunct w:val="0"/>
              <w:autoSpaceDE/>
              <w:autoSpaceDN/>
              <w:bidi w:val="0"/>
              <w:adjustRightInd/>
              <w:snapToGrid w:val="0"/>
              <w:spacing w:before="60" w:beforeLines="0" w:after="60" w:afterLines="0" w:line="240" w:lineRule="auto"/>
              <w:jc w:val="center"/>
              <w:textAlignment w:val="auto"/>
              <w:rPr>
                <w:rFonts w:hint="default" w:cs="Times New Roman"/>
                <w:sz w:val="20"/>
                <w:szCs w:val="20"/>
                <w:lang w:val="en-US" w:eastAsia="zh-CN"/>
              </w:rPr>
            </w:pPr>
            <w:r>
              <w:rPr>
                <w:rFonts w:hint="eastAsia" w:cs="Times New Roman"/>
                <w:sz w:val="20"/>
                <w:szCs w:val="20"/>
                <w:lang w:val="en-US" w:eastAsia="zh-CN"/>
              </w:rPr>
              <w:t>Normal</w:t>
            </w:r>
          </w:p>
        </w:tc>
        <w:tc>
          <w:tcPr>
            <w:tcW w:w="4938" w:type="dxa"/>
            <w:gridSpan w:val="2"/>
            <w:vAlign w:val="center"/>
          </w:tcPr>
          <w:p>
            <w:pPr>
              <w:keepNext w:val="0"/>
              <w:keepLines w:val="0"/>
              <w:pageBreakBefore w:val="0"/>
              <w:widowControl/>
              <w:kinsoku/>
              <w:wordWrap/>
              <w:overflowPunct/>
              <w:topLinePunct w:val="0"/>
              <w:autoSpaceDE/>
              <w:autoSpaceDN/>
              <w:bidi w:val="0"/>
              <w:adjustRightInd/>
              <w:snapToGrid w:val="0"/>
              <w:spacing w:before="60" w:beforeLines="0" w:after="60" w:afterLines="0" w:line="240" w:lineRule="auto"/>
              <w:jc w:val="center"/>
              <w:textAlignment w:val="auto"/>
              <w:rPr>
                <w:rFonts w:hint="default" w:cs="Times New Roman"/>
                <w:sz w:val="20"/>
                <w:szCs w:val="20"/>
                <w:lang w:val="en-US" w:eastAsia="zh-CN"/>
              </w:rPr>
            </w:pPr>
            <w:r>
              <w:rPr>
                <w:rFonts w:hint="default" w:cs="Times New Roman"/>
                <w:sz w:val="20"/>
                <w:szCs w:val="20"/>
                <w:lang w:val="en-US" w:eastAsia="zh-CN"/>
              </w:rPr>
              <w:t>Wideband case</w:t>
            </w:r>
          </w:p>
          <w:p>
            <w:pPr>
              <w:keepNext w:val="0"/>
              <w:keepLines w:val="0"/>
              <w:pageBreakBefore w:val="0"/>
              <w:widowControl/>
              <w:kinsoku/>
              <w:wordWrap/>
              <w:overflowPunct/>
              <w:topLinePunct w:val="0"/>
              <w:autoSpaceDE/>
              <w:autoSpaceDN/>
              <w:bidi w:val="0"/>
              <w:adjustRightInd/>
              <w:snapToGrid w:val="0"/>
              <w:spacing w:before="60" w:beforeLines="0" w:after="60" w:afterLines="0" w:line="240" w:lineRule="auto"/>
              <w:jc w:val="center"/>
              <w:textAlignment w:val="auto"/>
              <w:rPr>
                <w:rFonts w:hint="default" w:cs="Times New Roman"/>
                <w:sz w:val="20"/>
                <w:szCs w:val="20"/>
                <w:lang w:val="en-US" w:eastAsia="zh-CN"/>
              </w:rPr>
            </w:pPr>
            <w:r>
              <w:rPr>
                <w:rFonts w:hint="default" w:cs="Times New Roman"/>
                <w:sz w:val="20"/>
                <w:szCs w:val="20"/>
                <w:lang w:val="en-US" w:eastAsia="zh-CN"/>
              </w:rPr>
              <w:t>(</w:t>
            </w:r>
            <w:r>
              <w:rPr>
                <w:rFonts w:hint="eastAsia" w:cs="Times New Roman"/>
                <w:i/>
                <w:iCs/>
                <w:sz w:val="20"/>
                <w:szCs w:val="20"/>
                <w:lang w:val="en-US" w:eastAsia="zh-CN"/>
              </w:rPr>
              <w:t>B</w:t>
            </w:r>
            <w:r>
              <w:rPr>
                <w:rFonts w:hint="eastAsia" w:cs="Times New Roman"/>
                <w:i/>
                <w:iCs/>
                <w:sz w:val="20"/>
                <w:szCs w:val="20"/>
                <w:vertAlign w:val="subscript"/>
                <w:lang w:val="en-US" w:eastAsia="zh-CN"/>
              </w:rPr>
              <w:t>N</w:t>
            </w:r>
            <w:r>
              <w:rPr>
                <w:rFonts w:hint="default" w:cs="Times New Roman"/>
                <w:sz w:val="20"/>
                <w:szCs w:val="20"/>
                <w:lang w:val="en-US" w:eastAsia="zh-CN"/>
              </w:rPr>
              <w:t xml:space="preserve"> &gt; </w:t>
            </w:r>
            <w:r>
              <w:rPr>
                <w:rFonts w:hint="eastAsia" w:cs="Times New Roman"/>
                <w:i/>
                <w:iCs/>
                <w:sz w:val="20"/>
                <w:szCs w:val="20"/>
                <w:lang w:val="en-US" w:eastAsia="zh-CN"/>
              </w:rPr>
              <w:t>B</w:t>
            </w:r>
            <w:r>
              <w:rPr>
                <w:rFonts w:hint="eastAsia" w:cs="Times New Roman"/>
                <w:i/>
                <w:iCs/>
                <w:sz w:val="20"/>
                <w:szCs w:val="20"/>
                <w:vertAlign w:val="subscript"/>
                <w:lang w:val="en-US" w:eastAsia="zh-CN"/>
              </w:rPr>
              <w:t>U</w:t>
            </w:r>
            <w:r>
              <w:rPr>
                <w:rFonts w:hint="default" w:cs="Times New Roman"/>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vAlign w:val="center"/>
          </w:tcPr>
          <w:p>
            <w:pPr>
              <w:keepNext w:val="0"/>
              <w:keepLines w:val="0"/>
              <w:pageBreakBefore w:val="0"/>
              <w:widowControl/>
              <w:kinsoku/>
              <w:wordWrap/>
              <w:overflowPunct/>
              <w:topLinePunct w:val="0"/>
              <w:autoSpaceDE/>
              <w:autoSpaceDN/>
              <w:bidi w:val="0"/>
              <w:adjustRightInd/>
              <w:snapToGrid w:val="0"/>
              <w:spacing w:before="60" w:beforeLines="0" w:after="60" w:afterLines="0" w:line="240" w:lineRule="auto"/>
              <w:jc w:val="center"/>
              <w:textAlignment w:val="auto"/>
              <w:rPr>
                <w:rFonts w:hint="default" w:ascii="Times New Roman" w:hAnsi="Times New Roman" w:eastAsia="宋体" w:cs="Times New Roman"/>
                <w:kern w:val="2"/>
                <w:sz w:val="20"/>
                <w:szCs w:val="20"/>
                <w:lang w:val="en-US" w:eastAsia="zh-CN" w:bidi="ar-SA"/>
              </w:rPr>
            </w:pPr>
          </w:p>
        </w:tc>
        <w:tc>
          <w:tcPr>
            <w:tcW w:w="2469" w:type="dxa"/>
            <w:vAlign w:val="center"/>
          </w:tcPr>
          <w:p>
            <w:pPr>
              <w:keepNext w:val="0"/>
              <w:keepLines w:val="0"/>
              <w:pageBreakBefore w:val="0"/>
              <w:widowControl/>
              <w:kinsoku/>
              <w:wordWrap/>
              <w:overflowPunct/>
              <w:topLinePunct w:val="0"/>
              <w:autoSpaceDE/>
              <w:autoSpaceDN/>
              <w:bidi w:val="0"/>
              <w:adjustRightInd/>
              <w:snapToGrid w:val="0"/>
              <w:spacing w:before="60" w:beforeLines="0" w:after="60" w:afterLines="0" w:line="240" w:lineRule="auto"/>
              <w:jc w:val="center"/>
              <w:textAlignment w:val="auto"/>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lang w:val="en-US" w:eastAsia="zh-CN" w:bidi="ar-SA"/>
              </w:rPr>
              <w:t>Separation</w:t>
            </w:r>
          </w:p>
        </w:tc>
        <w:tc>
          <w:tcPr>
            <w:tcW w:w="2469" w:type="dxa"/>
            <w:vAlign w:val="center"/>
          </w:tcPr>
          <w:p>
            <w:pPr>
              <w:keepNext w:val="0"/>
              <w:keepLines w:val="0"/>
              <w:pageBreakBefore w:val="0"/>
              <w:widowControl/>
              <w:suppressLineNumbers w:val="0"/>
              <w:kinsoku/>
              <w:wordWrap/>
              <w:overflowPunct/>
              <w:topLinePunct w:val="0"/>
              <w:autoSpaceDE/>
              <w:autoSpaceDN/>
              <w:bidi w:val="0"/>
              <w:adjustRightInd/>
              <w:snapToGrid w:val="0"/>
              <w:spacing w:before="60" w:beforeLines="0" w:after="60" w:afterLines="0" w:line="240" w:lineRule="auto"/>
              <w:jc w:val="center"/>
              <w:textAlignment w:val="auto"/>
              <w:rPr>
                <w:rFonts w:hint="default" w:ascii="Times New Roman" w:hAnsi="Times New Roman" w:eastAsia="宋体" w:cs="Times New Roman"/>
                <w:kern w:val="2"/>
                <w:sz w:val="20"/>
                <w:szCs w:val="20"/>
                <w:lang w:val="en-US" w:eastAsia="zh-CN" w:bidi="ar-SA"/>
              </w:rPr>
            </w:pPr>
            <w:r>
              <w:rPr>
                <w:rFonts w:hint="eastAsia" w:cs="Times New Roman"/>
                <w:i/>
                <w:iCs/>
                <w:sz w:val="20"/>
                <w:szCs w:val="20"/>
                <w:lang w:val="en-US" w:eastAsia="zh-CN"/>
              </w:rPr>
              <w:t>B</w:t>
            </w:r>
            <w:r>
              <w:rPr>
                <w:rFonts w:hint="eastAsia" w:cs="Times New Roman"/>
                <w:i/>
                <w:iCs/>
                <w:sz w:val="20"/>
                <w:szCs w:val="20"/>
                <w:vertAlign w:val="subscript"/>
                <w:lang w:val="en-US" w:eastAsia="zh-CN"/>
              </w:rPr>
              <w:t>U</w:t>
            </w:r>
          </w:p>
        </w:tc>
        <w:tc>
          <w:tcPr>
            <w:tcW w:w="2469" w:type="dxa"/>
            <w:vAlign w:val="center"/>
          </w:tcPr>
          <w:p>
            <w:pPr>
              <w:keepNext w:val="0"/>
              <w:keepLines w:val="0"/>
              <w:pageBreakBefore w:val="0"/>
              <w:widowControl/>
              <w:suppressLineNumbers w:val="0"/>
              <w:kinsoku/>
              <w:wordWrap/>
              <w:overflowPunct/>
              <w:topLinePunct w:val="0"/>
              <w:autoSpaceDE/>
              <w:autoSpaceDN/>
              <w:bidi w:val="0"/>
              <w:adjustRightInd/>
              <w:snapToGrid w:val="0"/>
              <w:spacing w:before="60" w:beforeLines="0" w:after="60" w:afterLines="0" w:line="240" w:lineRule="auto"/>
              <w:jc w:val="center"/>
              <w:textAlignment w:val="auto"/>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lang w:val="en-US" w:eastAsia="zh-CN" w:bidi="ar-SA"/>
              </w:rP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vAlign w:val="center"/>
          </w:tcPr>
          <w:p>
            <w:pPr>
              <w:keepNext w:val="0"/>
              <w:keepLines w:val="0"/>
              <w:pageBreakBefore w:val="0"/>
              <w:widowControl/>
              <w:kinsoku/>
              <w:wordWrap/>
              <w:overflowPunct/>
              <w:topLinePunct w:val="0"/>
              <w:autoSpaceDE/>
              <w:autoSpaceDN/>
              <w:bidi w:val="0"/>
              <w:adjustRightInd/>
              <w:snapToGrid w:val="0"/>
              <w:spacing w:before="60" w:beforeLines="0" w:after="60" w:afterLines="0" w:line="240" w:lineRule="auto"/>
              <w:jc w:val="center"/>
              <w:textAlignment w:val="auto"/>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lang w:val="en-US" w:eastAsia="zh-CN" w:bidi="ar-SA"/>
              </w:rPr>
              <w:t xml:space="preserve">30 MHz </w:t>
            </w:r>
            <w:r>
              <w:rPr>
                <w:rFonts w:hint="eastAsia" w:cs="Times New Roman"/>
                <w:kern w:val="2"/>
                <w:sz w:val="20"/>
                <w:szCs w:val="20"/>
                <w:lang w:val="en-US" w:eastAsia="zh-CN" w:bidi="ar-SA"/>
              </w:rPr>
              <w:t>&lt;</w:t>
            </w:r>
            <w:r>
              <w:rPr>
                <w:rFonts w:hint="eastAsia" w:ascii="Times New Roman" w:hAnsi="Times New Roman" w:eastAsia="宋体" w:cs="Times New Roman"/>
                <w:kern w:val="2"/>
                <w:sz w:val="20"/>
                <w:szCs w:val="20"/>
                <w:lang w:val="en-US" w:eastAsia="zh-CN" w:bidi="ar-SA"/>
              </w:rPr>
              <w:t xml:space="preserve"> </w:t>
            </w:r>
            <w:r>
              <w:rPr>
                <w:rFonts w:hint="eastAsia" w:cs="Times New Roman"/>
                <w:i/>
                <w:iCs/>
                <w:sz w:val="20"/>
                <w:szCs w:val="20"/>
                <w:lang w:val="en-US" w:eastAsia="zh-CN"/>
              </w:rPr>
              <w:t>f</w:t>
            </w:r>
            <w:r>
              <w:rPr>
                <w:rFonts w:hint="eastAsia" w:cs="Times New Roman"/>
                <w:i/>
                <w:iCs/>
                <w:sz w:val="20"/>
                <w:szCs w:val="20"/>
                <w:vertAlign w:val="subscript"/>
                <w:lang w:val="en-US" w:eastAsia="zh-CN"/>
              </w:rPr>
              <w:t>c</w:t>
            </w:r>
            <w:r>
              <w:rPr>
                <w:rFonts w:hint="eastAsia" w:ascii="Times New Roman" w:hAnsi="Times New Roman" w:eastAsia="宋体" w:cs="Times New Roman"/>
                <w:kern w:val="2"/>
                <w:sz w:val="20"/>
                <w:szCs w:val="20"/>
                <w:lang w:val="en-US" w:eastAsia="zh-CN" w:bidi="ar-SA"/>
              </w:rPr>
              <w:t xml:space="preserve"> </w:t>
            </w:r>
            <w:r>
              <w:rPr>
                <w:rFonts w:hint="eastAsia" w:cs="Times New Roman"/>
                <w:kern w:val="2"/>
                <w:sz w:val="20"/>
                <w:szCs w:val="20"/>
                <w:lang w:val="en-US" w:eastAsia="zh-CN" w:bidi="ar-SA"/>
              </w:rPr>
              <w:t>&lt;</w:t>
            </w:r>
            <w:r>
              <w:rPr>
                <w:rFonts w:hint="eastAsia" w:ascii="Times New Roman" w:hAnsi="Times New Roman" w:eastAsia="宋体" w:cs="Times New Roman"/>
                <w:kern w:val="2"/>
                <w:sz w:val="20"/>
                <w:szCs w:val="20"/>
                <w:lang w:val="en-US" w:eastAsia="zh-CN" w:bidi="ar-SA"/>
              </w:rPr>
              <w:t xml:space="preserve"> </w:t>
            </w:r>
            <w:r>
              <w:rPr>
                <w:rFonts w:hint="default" w:ascii="Times New Roman" w:hAnsi="Times New Roman" w:eastAsia="宋体" w:cs="Times New Roman"/>
                <w:kern w:val="2"/>
                <w:sz w:val="20"/>
                <w:szCs w:val="20"/>
                <w:lang w:val="en-US" w:eastAsia="zh-CN" w:bidi="ar-SA"/>
              </w:rPr>
              <w:t>1 GHz</w:t>
            </w:r>
          </w:p>
        </w:tc>
        <w:tc>
          <w:tcPr>
            <w:tcW w:w="2469" w:type="dxa"/>
            <w:vAlign w:val="center"/>
          </w:tcPr>
          <w:p>
            <w:pPr>
              <w:keepNext w:val="0"/>
              <w:keepLines w:val="0"/>
              <w:pageBreakBefore w:val="0"/>
              <w:widowControl/>
              <w:kinsoku/>
              <w:wordWrap/>
              <w:overflowPunct/>
              <w:topLinePunct w:val="0"/>
              <w:autoSpaceDE/>
              <w:autoSpaceDN/>
              <w:bidi w:val="0"/>
              <w:adjustRightInd/>
              <w:snapToGrid w:val="0"/>
              <w:spacing w:before="60" w:beforeLines="0" w:after="60" w:afterLines="0" w:line="240" w:lineRule="auto"/>
              <w:jc w:val="center"/>
              <w:textAlignment w:val="auto"/>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lang w:val="en-US" w:eastAsia="zh-CN" w:bidi="ar-SA"/>
              </w:rPr>
              <w:t xml:space="preserve">2.5 </w:t>
            </w:r>
            <w:r>
              <w:rPr>
                <w:rFonts w:hint="eastAsia" w:cs="Times New Roman"/>
                <w:i/>
                <w:iCs/>
                <w:sz w:val="20"/>
                <w:szCs w:val="20"/>
                <w:lang w:val="en-US" w:eastAsia="zh-CN"/>
              </w:rPr>
              <w:t>B</w:t>
            </w:r>
            <w:r>
              <w:rPr>
                <w:rFonts w:hint="eastAsia" w:cs="Times New Roman"/>
                <w:i/>
                <w:iCs/>
                <w:sz w:val="20"/>
                <w:szCs w:val="20"/>
                <w:vertAlign w:val="subscript"/>
                <w:lang w:val="en-US" w:eastAsia="zh-CN"/>
              </w:rPr>
              <w:t>N</w:t>
            </w:r>
          </w:p>
        </w:tc>
        <w:tc>
          <w:tcPr>
            <w:tcW w:w="2469" w:type="dxa"/>
            <w:vAlign w:val="center"/>
          </w:tcPr>
          <w:p>
            <w:pPr>
              <w:keepNext w:val="0"/>
              <w:keepLines w:val="0"/>
              <w:pageBreakBefore w:val="0"/>
              <w:widowControl/>
              <w:kinsoku/>
              <w:wordWrap/>
              <w:overflowPunct/>
              <w:topLinePunct w:val="0"/>
              <w:autoSpaceDE/>
              <w:autoSpaceDN/>
              <w:bidi w:val="0"/>
              <w:adjustRightInd/>
              <w:snapToGrid w:val="0"/>
              <w:spacing w:before="60" w:beforeLines="0" w:after="60" w:afterLines="0" w:line="240" w:lineRule="auto"/>
              <w:jc w:val="center"/>
              <w:textAlignment w:val="auto"/>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10MHz</w:t>
            </w:r>
          </w:p>
        </w:tc>
        <w:tc>
          <w:tcPr>
            <w:tcW w:w="2469" w:type="dxa"/>
            <w:vAlign w:val="center"/>
          </w:tcPr>
          <w:p>
            <w:pPr>
              <w:keepNext w:val="0"/>
              <w:keepLines w:val="0"/>
              <w:pageBreakBefore w:val="0"/>
              <w:widowControl/>
              <w:kinsoku/>
              <w:wordWrap/>
              <w:overflowPunct/>
              <w:topLinePunct w:val="0"/>
              <w:autoSpaceDE/>
              <w:autoSpaceDN/>
              <w:bidi w:val="0"/>
              <w:adjustRightInd/>
              <w:snapToGrid w:val="0"/>
              <w:spacing w:before="60" w:beforeLines="0" w:after="60" w:afterLines="0" w:line="240" w:lineRule="auto"/>
              <w:jc w:val="center"/>
              <w:textAlignment w:val="auto"/>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lang w:val="en-US" w:eastAsia="zh-CN" w:bidi="ar-SA"/>
              </w:rPr>
              <w:t xml:space="preserve">1.5 </w:t>
            </w:r>
            <w:r>
              <w:rPr>
                <w:rFonts w:hint="eastAsia" w:cs="Times New Roman"/>
                <w:i/>
                <w:iCs/>
                <w:sz w:val="20"/>
                <w:szCs w:val="20"/>
                <w:lang w:val="en-US" w:eastAsia="zh-CN"/>
              </w:rPr>
              <w:t>B</w:t>
            </w:r>
            <w:r>
              <w:rPr>
                <w:rFonts w:hint="eastAsia" w:cs="Times New Roman"/>
                <w:i/>
                <w:iCs/>
                <w:sz w:val="20"/>
                <w:szCs w:val="20"/>
                <w:vertAlign w:val="subscript"/>
                <w:lang w:val="en-US" w:eastAsia="zh-CN"/>
              </w:rPr>
              <w:t>N</w:t>
            </w:r>
            <w:r>
              <w:rPr>
                <w:rFonts w:hint="default" w:ascii="Times New Roman" w:hAnsi="Times New Roman" w:eastAsia="宋体" w:cs="Times New Roman"/>
                <w:kern w:val="2"/>
                <w:sz w:val="20"/>
                <w:szCs w:val="20"/>
                <w:lang w:val="en-US" w:eastAsia="zh-CN" w:bidi="ar-SA"/>
              </w:rPr>
              <w:t xml:space="preserve"> + 10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vAlign w:val="center"/>
          </w:tcPr>
          <w:p>
            <w:pPr>
              <w:keepNext w:val="0"/>
              <w:keepLines w:val="0"/>
              <w:pageBreakBefore w:val="0"/>
              <w:widowControl/>
              <w:kinsoku/>
              <w:wordWrap/>
              <w:overflowPunct/>
              <w:topLinePunct w:val="0"/>
              <w:autoSpaceDE/>
              <w:autoSpaceDN/>
              <w:bidi w:val="0"/>
              <w:adjustRightInd/>
              <w:snapToGrid w:val="0"/>
              <w:spacing w:before="60" w:beforeLines="0" w:after="60" w:afterLines="0" w:line="240" w:lineRule="auto"/>
              <w:jc w:val="center"/>
              <w:textAlignment w:val="auto"/>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lang w:val="en-US" w:eastAsia="zh-CN" w:bidi="ar-SA"/>
              </w:rPr>
              <w:t xml:space="preserve">1 GHz </w:t>
            </w:r>
            <w:r>
              <w:rPr>
                <w:rFonts w:hint="eastAsia" w:cs="Times New Roman"/>
                <w:kern w:val="2"/>
                <w:sz w:val="20"/>
                <w:szCs w:val="20"/>
                <w:lang w:val="en-US" w:eastAsia="zh-CN" w:bidi="ar-SA"/>
              </w:rPr>
              <w:t>&lt;</w:t>
            </w:r>
            <w:r>
              <w:rPr>
                <w:rFonts w:hint="eastAsia" w:ascii="Times New Roman" w:hAnsi="Times New Roman" w:eastAsia="宋体" w:cs="Times New Roman"/>
                <w:kern w:val="2"/>
                <w:sz w:val="20"/>
                <w:szCs w:val="20"/>
                <w:lang w:val="en-US" w:eastAsia="zh-CN" w:bidi="ar-SA"/>
              </w:rPr>
              <w:t xml:space="preserve"> </w:t>
            </w:r>
            <w:r>
              <w:rPr>
                <w:rFonts w:hint="eastAsia" w:cs="Times New Roman"/>
                <w:i/>
                <w:iCs/>
                <w:sz w:val="20"/>
                <w:szCs w:val="20"/>
                <w:lang w:val="en-US" w:eastAsia="zh-CN"/>
              </w:rPr>
              <w:t>f</w:t>
            </w:r>
            <w:r>
              <w:rPr>
                <w:rFonts w:hint="eastAsia" w:cs="Times New Roman"/>
                <w:i/>
                <w:iCs/>
                <w:sz w:val="20"/>
                <w:szCs w:val="20"/>
                <w:vertAlign w:val="subscript"/>
                <w:lang w:val="en-US" w:eastAsia="zh-CN"/>
              </w:rPr>
              <w:t>c</w:t>
            </w:r>
            <w:r>
              <w:rPr>
                <w:rFonts w:hint="eastAsia" w:ascii="Times New Roman" w:hAnsi="Times New Roman" w:eastAsia="宋体" w:cs="Times New Roman"/>
                <w:kern w:val="2"/>
                <w:sz w:val="20"/>
                <w:szCs w:val="20"/>
                <w:lang w:val="en-US" w:eastAsia="zh-CN" w:bidi="ar-SA"/>
              </w:rPr>
              <w:t xml:space="preserve"> </w:t>
            </w:r>
            <w:r>
              <w:rPr>
                <w:rFonts w:hint="eastAsia" w:cs="Times New Roman"/>
                <w:kern w:val="2"/>
                <w:sz w:val="20"/>
                <w:szCs w:val="20"/>
                <w:lang w:val="en-US" w:eastAsia="zh-CN" w:bidi="ar-SA"/>
              </w:rPr>
              <w:t>&lt;</w:t>
            </w:r>
            <w:r>
              <w:rPr>
                <w:rFonts w:hint="eastAsia" w:ascii="Times New Roman" w:hAnsi="Times New Roman" w:eastAsia="宋体" w:cs="Times New Roman"/>
                <w:kern w:val="2"/>
                <w:sz w:val="20"/>
                <w:szCs w:val="20"/>
                <w:lang w:val="en-US" w:eastAsia="zh-CN" w:bidi="ar-SA"/>
              </w:rPr>
              <w:t xml:space="preserve"> </w:t>
            </w:r>
            <w:r>
              <w:rPr>
                <w:rFonts w:hint="default" w:ascii="Times New Roman" w:hAnsi="Times New Roman" w:eastAsia="宋体" w:cs="Times New Roman"/>
                <w:kern w:val="2"/>
                <w:sz w:val="20"/>
                <w:szCs w:val="20"/>
                <w:lang w:val="en-US" w:eastAsia="zh-CN" w:bidi="ar-SA"/>
              </w:rPr>
              <w:t>3 GHz</w:t>
            </w:r>
          </w:p>
        </w:tc>
        <w:tc>
          <w:tcPr>
            <w:tcW w:w="2469" w:type="dxa"/>
            <w:vAlign w:val="center"/>
          </w:tcPr>
          <w:p>
            <w:pPr>
              <w:keepNext w:val="0"/>
              <w:keepLines w:val="0"/>
              <w:pageBreakBefore w:val="0"/>
              <w:widowControl/>
              <w:kinsoku/>
              <w:wordWrap/>
              <w:overflowPunct/>
              <w:topLinePunct w:val="0"/>
              <w:autoSpaceDE/>
              <w:autoSpaceDN/>
              <w:bidi w:val="0"/>
              <w:adjustRightInd/>
              <w:snapToGrid w:val="0"/>
              <w:spacing w:before="60" w:beforeLines="0" w:after="60" w:afterLines="0" w:line="240" w:lineRule="auto"/>
              <w:jc w:val="center"/>
              <w:textAlignment w:val="auto"/>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lang w:val="en-US" w:eastAsia="zh-CN" w:bidi="ar-SA"/>
              </w:rPr>
              <w:t xml:space="preserve">2.5 </w:t>
            </w:r>
            <w:r>
              <w:rPr>
                <w:rFonts w:hint="eastAsia" w:cs="Times New Roman"/>
                <w:i/>
                <w:iCs/>
                <w:sz w:val="20"/>
                <w:szCs w:val="20"/>
                <w:lang w:val="en-US" w:eastAsia="zh-CN"/>
              </w:rPr>
              <w:t>B</w:t>
            </w:r>
            <w:r>
              <w:rPr>
                <w:rFonts w:hint="eastAsia" w:cs="Times New Roman"/>
                <w:i/>
                <w:iCs/>
                <w:sz w:val="20"/>
                <w:szCs w:val="20"/>
                <w:vertAlign w:val="subscript"/>
                <w:lang w:val="en-US" w:eastAsia="zh-CN"/>
              </w:rPr>
              <w:t>N</w:t>
            </w:r>
          </w:p>
        </w:tc>
        <w:tc>
          <w:tcPr>
            <w:tcW w:w="2469" w:type="dxa"/>
            <w:vAlign w:val="center"/>
          </w:tcPr>
          <w:p>
            <w:pPr>
              <w:keepNext w:val="0"/>
              <w:keepLines w:val="0"/>
              <w:pageBreakBefore w:val="0"/>
              <w:widowControl/>
              <w:kinsoku/>
              <w:wordWrap/>
              <w:overflowPunct/>
              <w:topLinePunct w:val="0"/>
              <w:autoSpaceDE/>
              <w:autoSpaceDN/>
              <w:bidi w:val="0"/>
              <w:adjustRightInd/>
              <w:snapToGrid w:val="0"/>
              <w:spacing w:before="60" w:beforeLines="0" w:after="60" w:afterLines="0" w:line="240" w:lineRule="auto"/>
              <w:jc w:val="center"/>
              <w:textAlignment w:val="auto"/>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50MHz</w:t>
            </w:r>
          </w:p>
        </w:tc>
        <w:tc>
          <w:tcPr>
            <w:tcW w:w="2469" w:type="dxa"/>
            <w:vAlign w:val="center"/>
          </w:tcPr>
          <w:p>
            <w:pPr>
              <w:keepNext w:val="0"/>
              <w:keepLines w:val="0"/>
              <w:pageBreakBefore w:val="0"/>
              <w:widowControl/>
              <w:kinsoku/>
              <w:wordWrap/>
              <w:overflowPunct/>
              <w:topLinePunct w:val="0"/>
              <w:autoSpaceDE/>
              <w:autoSpaceDN/>
              <w:bidi w:val="0"/>
              <w:adjustRightInd/>
              <w:snapToGrid w:val="0"/>
              <w:spacing w:before="60" w:beforeLines="0" w:after="60" w:afterLines="0" w:line="240" w:lineRule="auto"/>
              <w:jc w:val="center"/>
              <w:textAlignment w:val="auto"/>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lang w:val="en-US" w:eastAsia="zh-CN" w:bidi="ar-SA"/>
              </w:rPr>
              <w:t xml:space="preserve">1.5 </w:t>
            </w:r>
            <w:r>
              <w:rPr>
                <w:rFonts w:hint="eastAsia" w:cs="Times New Roman"/>
                <w:i/>
                <w:iCs/>
                <w:sz w:val="20"/>
                <w:szCs w:val="20"/>
                <w:lang w:val="en-US" w:eastAsia="zh-CN"/>
              </w:rPr>
              <w:t>B</w:t>
            </w:r>
            <w:r>
              <w:rPr>
                <w:rFonts w:hint="eastAsia" w:cs="Times New Roman"/>
                <w:i/>
                <w:iCs/>
                <w:sz w:val="20"/>
                <w:szCs w:val="20"/>
                <w:vertAlign w:val="subscript"/>
                <w:lang w:val="en-US" w:eastAsia="zh-CN"/>
              </w:rPr>
              <w:t>N</w:t>
            </w:r>
            <w:r>
              <w:rPr>
                <w:rFonts w:hint="default" w:ascii="Times New Roman" w:hAnsi="Times New Roman" w:eastAsia="宋体" w:cs="Times New Roman"/>
                <w:kern w:val="2"/>
                <w:sz w:val="20"/>
                <w:szCs w:val="20"/>
                <w:lang w:val="en-US" w:eastAsia="zh-CN" w:bidi="ar-SA"/>
              </w:rPr>
              <w:t xml:space="preserve"> + 50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vAlign w:val="center"/>
          </w:tcPr>
          <w:p>
            <w:pPr>
              <w:keepNext w:val="0"/>
              <w:keepLines w:val="0"/>
              <w:pageBreakBefore w:val="0"/>
              <w:widowControl/>
              <w:kinsoku/>
              <w:wordWrap/>
              <w:overflowPunct/>
              <w:topLinePunct w:val="0"/>
              <w:autoSpaceDE/>
              <w:autoSpaceDN/>
              <w:bidi w:val="0"/>
              <w:adjustRightInd/>
              <w:snapToGrid w:val="0"/>
              <w:spacing w:before="60" w:beforeLines="0" w:after="60" w:afterLines="0" w:line="240" w:lineRule="auto"/>
              <w:jc w:val="center"/>
              <w:textAlignment w:val="auto"/>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lang w:val="en-US" w:eastAsia="zh-CN" w:bidi="ar-SA"/>
              </w:rPr>
              <w:t xml:space="preserve">3 GHz </w:t>
            </w:r>
            <w:r>
              <w:rPr>
                <w:rFonts w:hint="eastAsia" w:cs="Times New Roman"/>
                <w:kern w:val="2"/>
                <w:sz w:val="20"/>
                <w:szCs w:val="20"/>
                <w:lang w:val="en-US" w:eastAsia="zh-CN" w:bidi="ar-SA"/>
              </w:rPr>
              <w:t>&lt;</w:t>
            </w:r>
            <w:r>
              <w:rPr>
                <w:rFonts w:hint="eastAsia" w:ascii="Times New Roman" w:hAnsi="Times New Roman" w:eastAsia="宋体" w:cs="Times New Roman"/>
                <w:kern w:val="2"/>
                <w:sz w:val="20"/>
                <w:szCs w:val="20"/>
                <w:lang w:val="en-US" w:eastAsia="zh-CN" w:bidi="ar-SA"/>
              </w:rPr>
              <w:t xml:space="preserve"> </w:t>
            </w:r>
            <w:r>
              <w:rPr>
                <w:rFonts w:hint="eastAsia" w:cs="Times New Roman"/>
                <w:i/>
                <w:iCs/>
                <w:sz w:val="20"/>
                <w:szCs w:val="20"/>
                <w:lang w:val="en-US" w:eastAsia="zh-CN"/>
              </w:rPr>
              <w:t>f</w:t>
            </w:r>
            <w:r>
              <w:rPr>
                <w:rFonts w:hint="eastAsia" w:cs="Times New Roman"/>
                <w:i/>
                <w:iCs/>
                <w:sz w:val="20"/>
                <w:szCs w:val="20"/>
                <w:vertAlign w:val="subscript"/>
                <w:lang w:val="en-US" w:eastAsia="zh-CN"/>
              </w:rPr>
              <w:t>c</w:t>
            </w:r>
            <w:r>
              <w:rPr>
                <w:rFonts w:hint="default" w:ascii="Times New Roman" w:hAnsi="Times New Roman" w:eastAsia="宋体" w:cs="Times New Roman"/>
                <w:kern w:val="2"/>
                <w:sz w:val="20"/>
                <w:szCs w:val="20"/>
                <w:lang w:val="en-US" w:eastAsia="zh-CN" w:bidi="ar-SA"/>
              </w:rPr>
              <w:t xml:space="preserve"> </w:t>
            </w:r>
            <w:r>
              <w:rPr>
                <w:rFonts w:hint="eastAsia" w:cs="Times New Roman"/>
                <w:kern w:val="2"/>
                <w:sz w:val="20"/>
                <w:szCs w:val="20"/>
                <w:lang w:val="en-US" w:eastAsia="zh-CN" w:bidi="ar-SA"/>
              </w:rPr>
              <w:t>&lt;</w:t>
            </w:r>
            <w:r>
              <w:rPr>
                <w:rFonts w:hint="eastAsia" w:ascii="Times New Roman" w:hAnsi="Times New Roman" w:eastAsia="宋体" w:cs="Times New Roman"/>
                <w:kern w:val="2"/>
                <w:sz w:val="20"/>
                <w:szCs w:val="20"/>
                <w:lang w:val="en-US" w:eastAsia="zh-CN" w:bidi="ar-SA"/>
              </w:rPr>
              <w:t xml:space="preserve"> </w:t>
            </w:r>
            <w:r>
              <w:rPr>
                <w:rFonts w:hint="default" w:ascii="Times New Roman" w:hAnsi="Times New Roman" w:eastAsia="宋体" w:cs="Times New Roman"/>
                <w:kern w:val="2"/>
                <w:sz w:val="20"/>
                <w:szCs w:val="20"/>
                <w:lang w:val="en-US" w:eastAsia="zh-CN" w:bidi="ar-SA"/>
              </w:rPr>
              <w:t>10 GHz</w:t>
            </w:r>
          </w:p>
        </w:tc>
        <w:tc>
          <w:tcPr>
            <w:tcW w:w="2469" w:type="dxa"/>
            <w:vAlign w:val="center"/>
          </w:tcPr>
          <w:p>
            <w:pPr>
              <w:keepNext w:val="0"/>
              <w:keepLines w:val="0"/>
              <w:pageBreakBefore w:val="0"/>
              <w:widowControl/>
              <w:kinsoku/>
              <w:wordWrap/>
              <w:overflowPunct/>
              <w:topLinePunct w:val="0"/>
              <w:autoSpaceDE/>
              <w:autoSpaceDN/>
              <w:bidi w:val="0"/>
              <w:adjustRightInd/>
              <w:snapToGrid w:val="0"/>
              <w:spacing w:before="60" w:beforeLines="0" w:after="60" w:afterLines="0" w:line="240" w:lineRule="auto"/>
              <w:jc w:val="center"/>
              <w:textAlignment w:val="auto"/>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lang w:val="en-US" w:eastAsia="zh-CN" w:bidi="ar-SA"/>
              </w:rPr>
              <w:t xml:space="preserve">2.5 </w:t>
            </w:r>
            <w:r>
              <w:rPr>
                <w:rFonts w:hint="eastAsia" w:cs="Times New Roman"/>
                <w:i/>
                <w:iCs/>
                <w:sz w:val="20"/>
                <w:szCs w:val="20"/>
                <w:lang w:val="en-US" w:eastAsia="zh-CN"/>
              </w:rPr>
              <w:t>B</w:t>
            </w:r>
            <w:r>
              <w:rPr>
                <w:rFonts w:hint="eastAsia" w:cs="Times New Roman"/>
                <w:i/>
                <w:iCs/>
                <w:sz w:val="20"/>
                <w:szCs w:val="20"/>
                <w:vertAlign w:val="subscript"/>
                <w:lang w:val="en-US" w:eastAsia="zh-CN"/>
              </w:rPr>
              <w:t>N</w:t>
            </w:r>
          </w:p>
        </w:tc>
        <w:tc>
          <w:tcPr>
            <w:tcW w:w="2469" w:type="dxa"/>
            <w:vAlign w:val="center"/>
          </w:tcPr>
          <w:p>
            <w:pPr>
              <w:keepNext w:val="0"/>
              <w:keepLines w:val="0"/>
              <w:pageBreakBefore w:val="0"/>
              <w:widowControl/>
              <w:kinsoku/>
              <w:wordWrap/>
              <w:overflowPunct/>
              <w:topLinePunct w:val="0"/>
              <w:autoSpaceDE/>
              <w:autoSpaceDN/>
              <w:bidi w:val="0"/>
              <w:adjustRightInd/>
              <w:snapToGrid w:val="0"/>
              <w:spacing w:before="60" w:beforeLines="0" w:after="60" w:afterLines="0" w:line="240" w:lineRule="auto"/>
              <w:jc w:val="center"/>
              <w:textAlignment w:val="auto"/>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100MHz</w:t>
            </w:r>
          </w:p>
        </w:tc>
        <w:tc>
          <w:tcPr>
            <w:tcW w:w="2469" w:type="dxa"/>
            <w:vAlign w:val="center"/>
          </w:tcPr>
          <w:p>
            <w:pPr>
              <w:keepNext w:val="0"/>
              <w:keepLines w:val="0"/>
              <w:pageBreakBefore w:val="0"/>
              <w:widowControl/>
              <w:kinsoku/>
              <w:wordWrap/>
              <w:overflowPunct/>
              <w:topLinePunct w:val="0"/>
              <w:autoSpaceDE/>
              <w:autoSpaceDN/>
              <w:bidi w:val="0"/>
              <w:adjustRightInd/>
              <w:snapToGrid w:val="0"/>
              <w:spacing w:before="60" w:beforeLines="0" w:after="60" w:afterLines="0" w:line="240" w:lineRule="auto"/>
              <w:jc w:val="center"/>
              <w:textAlignment w:val="auto"/>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lang w:val="en-US" w:eastAsia="zh-CN" w:bidi="ar-SA"/>
              </w:rPr>
              <w:t xml:space="preserve">1.5 </w:t>
            </w:r>
            <w:r>
              <w:rPr>
                <w:rFonts w:hint="eastAsia" w:cs="Times New Roman"/>
                <w:i/>
                <w:iCs/>
                <w:sz w:val="20"/>
                <w:szCs w:val="20"/>
                <w:lang w:val="en-US" w:eastAsia="zh-CN"/>
              </w:rPr>
              <w:t>B</w:t>
            </w:r>
            <w:r>
              <w:rPr>
                <w:rFonts w:hint="eastAsia" w:cs="Times New Roman"/>
                <w:i/>
                <w:iCs/>
                <w:sz w:val="20"/>
                <w:szCs w:val="20"/>
                <w:vertAlign w:val="subscript"/>
                <w:lang w:val="en-US" w:eastAsia="zh-CN"/>
              </w:rPr>
              <w:t>N</w:t>
            </w:r>
            <w:r>
              <w:rPr>
                <w:rFonts w:hint="default" w:ascii="Times New Roman" w:hAnsi="Times New Roman" w:eastAsia="宋体" w:cs="Times New Roman"/>
                <w:kern w:val="2"/>
                <w:sz w:val="20"/>
                <w:szCs w:val="20"/>
                <w:lang w:val="en-US" w:eastAsia="zh-CN" w:bidi="ar-SA"/>
              </w:rPr>
              <w:t xml:space="preserve"> + 100 MHz</w:t>
            </w:r>
          </w:p>
        </w:tc>
      </w:tr>
    </w:tbl>
    <w:p>
      <w:pPr>
        <w:jc w:val="center"/>
        <w:rPr>
          <w:rFonts w:hint="eastAsia" w:cs="Times New Roman"/>
          <w:b/>
          <w:bCs/>
          <w:sz w:val="20"/>
          <w:szCs w:val="20"/>
          <w:lang w:val="en-US" w:eastAsia="zh-CN"/>
        </w:rPr>
      </w:pPr>
    </w:p>
    <w:p>
      <w:pPr>
        <w:jc w:val="center"/>
        <w:rPr>
          <w:rFonts w:hint="default"/>
          <w:sz w:val="20"/>
          <w:szCs w:val="20"/>
          <w:lang w:val="en-US" w:eastAsia="zh-CN"/>
        </w:rPr>
      </w:pPr>
      <w:r>
        <w:rPr>
          <w:rFonts w:hint="eastAsia" w:cs="Times New Roman"/>
          <w:b/>
          <w:bCs/>
          <w:sz w:val="20"/>
          <w:szCs w:val="20"/>
          <w:lang w:val="en-US" w:eastAsia="zh-CN"/>
        </w:rPr>
        <w:t>Table 2.1-2: Frequency separation between the channel edge and the boundary of the spurious domain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9"/>
        <w:gridCol w:w="2469"/>
        <w:gridCol w:w="2469"/>
        <w:gridCol w:w="2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vAlign w:val="center"/>
          </w:tcPr>
          <w:p>
            <w:pPr>
              <w:keepNext w:val="0"/>
              <w:keepLines w:val="0"/>
              <w:pageBreakBefore w:val="0"/>
              <w:widowControl/>
              <w:kinsoku/>
              <w:wordWrap/>
              <w:overflowPunct/>
              <w:topLinePunct w:val="0"/>
              <w:autoSpaceDE/>
              <w:autoSpaceDN/>
              <w:bidi w:val="0"/>
              <w:adjustRightInd/>
              <w:snapToGrid w:val="0"/>
              <w:spacing w:before="60" w:beforeLines="0" w:after="60" w:afterLines="0" w:line="240" w:lineRule="auto"/>
              <w:jc w:val="center"/>
              <w:textAlignment w:val="auto"/>
              <w:rPr>
                <w:rFonts w:hint="default" w:cs="Times New Roman"/>
                <w:sz w:val="20"/>
                <w:szCs w:val="20"/>
                <w:lang w:val="en-US" w:eastAsia="zh-CN"/>
              </w:rPr>
            </w:pPr>
            <w:r>
              <w:rPr>
                <w:rFonts w:hint="eastAsia" w:cs="Times New Roman"/>
                <w:sz w:val="20"/>
                <w:szCs w:val="20"/>
                <w:lang w:val="en-US" w:eastAsia="zh-CN"/>
              </w:rPr>
              <w:t>Frequency range</w:t>
            </w:r>
          </w:p>
        </w:tc>
        <w:tc>
          <w:tcPr>
            <w:tcW w:w="2469" w:type="dxa"/>
            <w:vAlign w:val="center"/>
          </w:tcPr>
          <w:p>
            <w:pPr>
              <w:keepNext w:val="0"/>
              <w:keepLines w:val="0"/>
              <w:pageBreakBefore w:val="0"/>
              <w:widowControl/>
              <w:kinsoku/>
              <w:wordWrap/>
              <w:overflowPunct/>
              <w:topLinePunct w:val="0"/>
              <w:autoSpaceDE/>
              <w:autoSpaceDN/>
              <w:bidi w:val="0"/>
              <w:adjustRightInd/>
              <w:snapToGrid w:val="0"/>
              <w:spacing w:before="60" w:beforeLines="0" w:after="60" w:afterLines="0" w:line="240" w:lineRule="auto"/>
              <w:jc w:val="center"/>
              <w:textAlignment w:val="auto"/>
              <w:rPr>
                <w:rFonts w:hint="default" w:cs="Times New Roman"/>
                <w:sz w:val="20"/>
                <w:szCs w:val="20"/>
                <w:lang w:val="en-US" w:eastAsia="zh-CN"/>
              </w:rPr>
            </w:pPr>
            <w:r>
              <w:rPr>
                <w:rFonts w:hint="eastAsia" w:cs="Times New Roman"/>
                <w:sz w:val="20"/>
                <w:szCs w:val="20"/>
                <w:lang w:val="en-US" w:eastAsia="zh-CN"/>
              </w:rPr>
              <w:t>Normal</w:t>
            </w:r>
          </w:p>
        </w:tc>
        <w:tc>
          <w:tcPr>
            <w:tcW w:w="4938" w:type="dxa"/>
            <w:gridSpan w:val="2"/>
            <w:vAlign w:val="center"/>
          </w:tcPr>
          <w:p>
            <w:pPr>
              <w:keepNext w:val="0"/>
              <w:keepLines w:val="0"/>
              <w:pageBreakBefore w:val="0"/>
              <w:widowControl/>
              <w:kinsoku/>
              <w:wordWrap/>
              <w:overflowPunct/>
              <w:topLinePunct w:val="0"/>
              <w:autoSpaceDE/>
              <w:autoSpaceDN/>
              <w:bidi w:val="0"/>
              <w:adjustRightInd/>
              <w:snapToGrid w:val="0"/>
              <w:spacing w:before="60" w:beforeLines="0" w:after="60" w:afterLines="0" w:line="240" w:lineRule="auto"/>
              <w:jc w:val="center"/>
              <w:textAlignment w:val="auto"/>
              <w:rPr>
                <w:rFonts w:hint="default" w:cs="Times New Roman"/>
                <w:sz w:val="20"/>
                <w:szCs w:val="20"/>
                <w:lang w:val="en-US" w:eastAsia="zh-CN"/>
              </w:rPr>
            </w:pPr>
            <w:r>
              <w:rPr>
                <w:rFonts w:hint="default" w:cs="Times New Roman"/>
                <w:sz w:val="20"/>
                <w:szCs w:val="20"/>
                <w:lang w:val="en-US" w:eastAsia="zh-CN"/>
              </w:rPr>
              <w:t>Wideband case</w:t>
            </w:r>
          </w:p>
          <w:p>
            <w:pPr>
              <w:keepNext w:val="0"/>
              <w:keepLines w:val="0"/>
              <w:pageBreakBefore w:val="0"/>
              <w:widowControl/>
              <w:kinsoku/>
              <w:wordWrap/>
              <w:overflowPunct/>
              <w:topLinePunct w:val="0"/>
              <w:autoSpaceDE/>
              <w:autoSpaceDN/>
              <w:bidi w:val="0"/>
              <w:adjustRightInd/>
              <w:snapToGrid w:val="0"/>
              <w:spacing w:before="60" w:beforeLines="0" w:after="60" w:afterLines="0" w:line="240" w:lineRule="auto"/>
              <w:jc w:val="center"/>
              <w:textAlignment w:val="auto"/>
              <w:rPr>
                <w:rFonts w:hint="default" w:cs="Times New Roman"/>
                <w:sz w:val="20"/>
                <w:szCs w:val="20"/>
                <w:lang w:val="en-US" w:eastAsia="zh-CN"/>
              </w:rPr>
            </w:pPr>
            <w:r>
              <w:rPr>
                <w:rFonts w:hint="default" w:cs="Times New Roman"/>
                <w:sz w:val="20"/>
                <w:szCs w:val="20"/>
                <w:lang w:val="en-US" w:eastAsia="zh-CN"/>
              </w:rPr>
              <w:t>(</w:t>
            </w:r>
            <w:r>
              <w:rPr>
                <w:rFonts w:hint="eastAsia" w:cs="Times New Roman"/>
                <w:i/>
                <w:iCs/>
                <w:sz w:val="20"/>
                <w:szCs w:val="20"/>
                <w:lang w:val="en-US" w:eastAsia="zh-CN"/>
              </w:rPr>
              <w:t>B</w:t>
            </w:r>
            <w:r>
              <w:rPr>
                <w:rFonts w:hint="eastAsia" w:cs="Times New Roman"/>
                <w:i/>
                <w:iCs/>
                <w:sz w:val="20"/>
                <w:szCs w:val="20"/>
                <w:vertAlign w:val="subscript"/>
                <w:lang w:val="en-US" w:eastAsia="zh-CN"/>
              </w:rPr>
              <w:t>N</w:t>
            </w:r>
            <w:r>
              <w:rPr>
                <w:rFonts w:hint="default" w:cs="Times New Roman"/>
                <w:sz w:val="20"/>
                <w:szCs w:val="20"/>
                <w:lang w:val="en-US" w:eastAsia="zh-CN"/>
              </w:rPr>
              <w:t xml:space="preserve"> &gt; </w:t>
            </w:r>
            <w:r>
              <w:rPr>
                <w:rFonts w:hint="eastAsia" w:cs="Times New Roman"/>
                <w:i/>
                <w:iCs/>
                <w:sz w:val="20"/>
                <w:szCs w:val="20"/>
                <w:lang w:val="en-US" w:eastAsia="zh-CN"/>
              </w:rPr>
              <w:t>B</w:t>
            </w:r>
            <w:r>
              <w:rPr>
                <w:rFonts w:hint="eastAsia" w:cs="Times New Roman"/>
                <w:i/>
                <w:iCs/>
                <w:sz w:val="20"/>
                <w:szCs w:val="20"/>
                <w:vertAlign w:val="subscript"/>
                <w:lang w:val="en-US" w:eastAsia="zh-CN"/>
              </w:rPr>
              <w:t>U</w:t>
            </w:r>
            <w:r>
              <w:rPr>
                <w:rFonts w:hint="default" w:cs="Times New Roman"/>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vAlign w:val="center"/>
          </w:tcPr>
          <w:p>
            <w:pPr>
              <w:keepNext w:val="0"/>
              <w:keepLines w:val="0"/>
              <w:pageBreakBefore w:val="0"/>
              <w:widowControl/>
              <w:kinsoku/>
              <w:wordWrap/>
              <w:overflowPunct/>
              <w:topLinePunct w:val="0"/>
              <w:autoSpaceDE/>
              <w:autoSpaceDN/>
              <w:bidi w:val="0"/>
              <w:adjustRightInd/>
              <w:snapToGrid w:val="0"/>
              <w:spacing w:before="60" w:beforeLines="0" w:after="60" w:afterLines="0" w:line="240" w:lineRule="auto"/>
              <w:jc w:val="center"/>
              <w:textAlignment w:val="auto"/>
              <w:rPr>
                <w:rFonts w:hint="default" w:ascii="Times New Roman" w:hAnsi="Times New Roman" w:eastAsia="宋体" w:cs="Times New Roman"/>
                <w:kern w:val="2"/>
                <w:sz w:val="20"/>
                <w:szCs w:val="20"/>
                <w:lang w:val="en-US" w:eastAsia="zh-CN" w:bidi="ar-SA"/>
              </w:rPr>
            </w:pPr>
          </w:p>
        </w:tc>
        <w:tc>
          <w:tcPr>
            <w:tcW w:w="2469" w:type="dxa"/>
            <w:vAlign w:val="center"/>
          </w:tcPr>
          <w:p>
            <w:pPr>
              <w:keepNext w:val="0"/>
              <w:keepLines w:val="0"/>
              <w:pageBreakBefore w:val="0"/>
              <w:widowControl/>
              <w:kinsoku/>
              <w:wordWrap/>
              <w:overflowPunct/>
              <w:topLinePunct w:val="0"/>
              <w:autoSpaceDE/>
              <w:autoSpaceDN/>
              <w:bidi w:val="0"/>
              <w:adjustRightInd/>
              <w:snapToGrid w:val="0"/>
              <w:spacing w:before="60" w:beforeLines="0" w:after="60" w:afterLines="0" w:line="240" w:lineRule="auto"/>
              <w:jc w:val="center"/>
              <w:textAlignment w:val="auto"/>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lang w:val="en-US" w:eastAsia="zh-CN" w:bidi="ar-SA"/>
              </w:rPr>
              <w:t>Separation</w:t>
            </w:r>
          </w:p>
        </w:tc>
        <w:tc>
          <w:tcPr>
            <w:tcW w:w="2469" w:type="dxa"/>
            <w:vAlign w:val="center"/>
          </w:tcPr>
          <w:p>
            <w:pPr>
              <w:keepNext w:val="0"/>
              <w:keepLines w:val="0"/>
              <w:pageBreakBefore w:val="0"/>
              <w:widowControl/>
              <w:suppressLineNumbers w:val="0"/>
              <w:kinsoku/>
              <w:wordWrap/>
              <w:overflowPunct/>
              <w:topLinePunct w:val="0"/>
              <w:autoSpaceDE/>
              <w:autoSpaceDN/>
              <w:bidi w:val="0"/>
              <w:adjustRightInd/>
              <w:snapToGrid w:val="0"/>
              <w:spacing w:before="60" w:beforeLines="0" w:after="60" w:afterLines="0" w:line="240" w:lineRule="auto"/>
              <w:jc w:val="center"/>
              <w:textAlignment w:val="auto"/>
              <w:rPr>
                <w:rFonts w:hint="default" w:ascii="Times New Roman" w:hAnsi="Times New Roman" w:eastAsia="宋体" w:cs="Times New Roman"/>
                <w:kern w:val="2"/>
                <w:sz w:val="20"/>
                <w:szCs w:val="20"/>
                <w:lang w:val="en-US" w:eastAsia="zh-CN" w:bidi="ar-SA"/>
              </w:rPr>
            </w:pPr>
            <w:r>
              <w:rPr>
                <w:rFonts w:hint="eastAsia" w:cs="Times New Roman"/>
                <w:i/>
                <w:iCs/>
                <w:sz w:val="20"/>
                <w:szCs w:val="20"/>
                <w:lang w:val="en-US" w:eastAsia="zh-CN"/>
              </w:rPr>
              <w:t>B</w:t>
            </w:r>
            <w:r>
              <w:rPr>
                <w:rFonts w:hint="eastAsia" w:cs="Times New Roman"/>
                <w:i/>
                <w:iCs/>
                <w:sz w:val="20"/>
                <w:szCs w:val="20"/>
                <w:vertAlign w:val="subscript"/>
                <w:lang w:val="en-US" w:eastAsia="zh-CN"/>
              </w:rPr>
              <w:t>U</w:t>
            </w:r>
          </w:p>
        </w:tc>
        <w:tc>
          <w:tcPr>
            <w:tcW w:w="2469" w:type="dxa"/>
            <w:vAlign w:val="center"/>
          </w:tcPr>
          <w:p>
            <w:pPr>
              <w:keepNext w:val="0"/>
              <w:keepLines w:val="0"/>
              <w:pageBreakBefore w:val="0"/>
              <w:widowControl/>
              <w:suppressLineNumbers w:val="0"/>
              <w:kinsoku/>
              <w:wordWrap/>
              <w:overflowPunct/>
              <w:topLinePunct w:val="0"/>
              <w:autoSpaceDE/>
              <w:autoSpaceDN/>
              <w:bidi w:val="0"/>
              <w:adjustRightInd/>
              <w:snapToGrid w:val="0"/>
              <w:spacing w:before="60" w:beforeLines="0" w:after="60" w:afterLines="0" w:line="240" w:lineRule="auto"/>
              <w:jc w:val="center"/>
              <w:textAlignment w:val="auto"/>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lang w:val="en-US" w:eastAsia="zh-CN" w:bidi="ar-SA"/>
              </w:rP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vAlign w:val="center"/>
          </w:tcPr>
          <w:p>
            <w:pPr>
              <w:keepNext w:val="0"/>
              <w:keepLines w:val="0"/>
              <w:pageBreakBefore w:val="0"/>
              <w:widowControl/>
              <w:kinsoku/>
              <w:wordWrap/>
              <w:overflowPunct/>
              <w:topLinePunct w:val="0"/>
              <w:autoSpaceDE/>
              <w:autoSpaceDN/>
              <w:bidi w:val="0"/>
              <w:adjustRightInd/>
              <w:snapToGrid w:val="0"/>
              <w:spacing w:before="60" w:beforeLines="0" w:after="60" w:afterLines="0" w:line="240" w:lineRule="auto"/>
              <w:jc w:val="center"/>
              <w:textAlignment w:val="auto"/>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lang w:val="en-US" w:eastAsia="zh-CN" w:bidi="ar-SA"/>
              </w:rPr>
              <w:t xml:space="preserve">30 MHz </w:t>
            </w:r>
            <w:r>
              <w:rPr>
                <w:rFonts w:hint="eastAsia" w:cs="Times New Roman"/>
                <w:kern w:val="2"/>
                <w:sz w:val="20"/>
                <w:szCs w:val="20"/>
                <w:lang w:val="en-US" w:eastAsia="zh-CN" w:bidi="ar-SA"/>
              </w:rPr>
              <w:t>&lt;</w:t>
            </w:r>
            <w:r>
              <w:rPr>
                <w:rFonts w:hint="eastAsia" w:ascii="Times New Roman" w:hAnsi="Times New Roman" w:eastAsia="宋体" w:cs="Times New Roman"/>
                <w:kern w:val="2"/>
                <w:sz w:val="20"/>
                <w:szCs w:val="20"/>
                <w:lang w:val="en-US" w:eastAsia="zh-CN" w:bidi="ar-SA"/>
              </w:rPr>
              <w:t xml:space="preserve"> </w:t>
            </w:r>
            <w:r>
              <w:rPr>
                <w:rFonts w:hint="eastAsia" w:cs="Times New Roman"/>
                <w:i/>
                <w:iCs/>
                <w:sz w:val="20"/>
                <w:szCs w:val="20"/>
                <w:lang w:val="en-US" w:eastAsia="zh-CN"/>
              </w:rPr>
              <w:t>f</w:t>
            </w:r>
            <w:r>
              <w:rPr>
                <w:rFonts w:hint="eastAsia" w:cs="Times New Roman"/>
                <w:i/>
                <w:iCs/>
                <w:sz w:val="20"/>
                <w:szCs w:val="20"/>
                <w:vertAlign w:val="subscript"/>
                <w:lang w:val="en-US" w:eastAsia="zh-CN"/>
              </w:rPr>
              <w:t>c</w:t>
            </w:r>
            <w:r>
              <w:rPr>
                <w:rFonts w:hint="eastAsia" w:ascii="Times New Roman" w:hAnsi="Times New Roman" w:eastAsia="宋体" w:cs="Times New Roman"/>
                <w:kern w:val="2"/>
                <w:sz w:val="20"/>
                <w:szCs w:val="20"/>
                <w:lang w:val="en-US" w:eastAsia="zh-CN" w:bidi="ar-SA"/>
              </w:rPr>
              <w:t xml:space="preserve"> </w:t>
            </w:r>
            <w:r>
              <w:rPr>
                <w:rFonts w:hint="eastAsia" w:cs="Times New Roman"/>
                <w:kern w:val="2"/>
                <w:sz w:val="20"/>
                <w:szCs w:val="20"/>
                <w:lang w:val="en-US" w:eastAsia="zh-CN" w:bidi="ar-SA"/>
              </w:rPr>
              <w:t>&lt;</w:t>
            </w:r>
            <w:r>
              <w:rPr>
                <w:rFonts w:hint="eastAsia" w:ascii="Times New Roman" w:hAnsi="Times New Roman" w:eastAsia="宋体" w:cs="Times New Roman"/>
                <w:kern w:val="2"/>
                <w:sz w:val="20"/>
                <w:szCs w:val="20"/>
                <w:lang w:val="en-US" w:eastAsia="zh-CN" w:bidi="ar-SA"/>
              </w:rPr>
              <w:t xml:space="preserve"> </w:t>
            </w:r>
            <w:r>
              <w:rPr>
                <w:rFonts w:hint="default" w:ascii="Times New Roman" w:hAnsi="Times New Roman" w:eastAsia="宋体" w:cs="Times New Roman"/>
                <w:kern w:val="2"/>
                <w:sz w:val="20"/>
                <w:szCs w:val="20"/>
                <w:lang w:val="en-US" w:eastAsia="zh-CN" w:bidi="ar-SA"/>
              </w:rPr>
              <w:t>1 GHz</w:t>
            </w:r>
          </w:p>
        </w:tc>
        <w:tc>
          <w:tcPr>
            <w:tcW w:w="2469" w:type="dxa"/>
            <w:vAlign w:val="center"/>
          </w:tcPr>
          <w:p>
            <w:pPr>
              <w:keepNext w:val="0"/>
              <w:keepLines w:val="0"/>
              <w:pageBreakBefore w:val="0"/>
              <w:widowControl/>
              <w:kinsoku/>
              <w:wordWrap/>
              <w:overflowPunct/>
              <w:topLinePunct w:val="0"/>
              <w:autoSpaceDE/>
              <w:autoSpaceDN/>
              <w:bidi w:val="0"/>
              <w:adjustRightInd/>
              <w:snapToGrid w:val="0"/>
              <w:spacing w:before="60" w:beforeLines="0" w:after="60" w:afterLines="0" w:line="240" w:lineRule="auto"/>
              <w:jc w:val="center"/>
              <w:textAlignment w:val="auto"/>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lang w:val="en-US" w:eastAsia="zh-CN" w:bidi="ar-SA"/>
              </w:rPr>
              <w:t>2</w:t>
            </w:r>
            <w:r>
              <w:rPr>
                <w:rFonts w:hint="eastAsia" w:cs="Times New Roman"/>
                <w:kern w:val="2"/>
                <w:sz w:val="20"/>
                <w:szCs w:val="20"/>
                <w:lang w:val="en-US" w:eastAsia="zh-CN" w:bidi="ar-SA"/>
              </w:rPr>
              <w:t>*</w:t>
            </w:r>
            <w:r>
              <w:rPr>
                <w:rFonts w:hint="eastAsia" w:cs="Times New Roman"/>
                <w:sz w:val="20"/>
                <w:szCs w:val="20"/>
                <w:lang w:val="en-US" w:eastAsia="zh-CN"/>
              </w:rPr>
              <w:t>BW</w:t>
            </w:r>
            <w:r>
              <w:rPr>
                <w:rFonts w:hint="eastAsia" w:cs="Times New Roman"/>
                <w:sz w:val="20"/>
                <w:szCs w:val="20"/>
                <w:vertAlign w:val="subscript"/>
                <w:lang w:val="en-US" w:eastAsia="zh-CN"/>
              </w:rPr>
              <w:t>channel</w:t>
            </w:r>
          </w:p>
        </w:tc>
        <w:tc>
          <w:tcPr>
            <w:tcW w:w="2469" w:type="dxa"/>
            <w:vAlign w:val="center"/>
          </w:tcPr>
          <w:p>
            <w:pPr>
              <w:keepNext w:val="0"/>
              <w:keepLines w:val="0"/>
              <w:pageBreakBefore w:val="0"/>
              <w:widowControl/>
              <w:kinsoku/>
              <w:wordWrap/>
              <w:overflowPunct/>
              <w:topLinePunct w:val="0"/>
              <w:autoSpaceDE/>
              <w:autoSpaceDN/>
              <w:bidi w:val="0"/>
              <w:adjustRightInd/>
              <w:snapToGrid w:val="0"/>
              <w:spacing w:before="60" w:beforeLines="0" w:after="60" w:afterLines="0" w:line="240" w:lineRule="auto"/>
              <w:jc w:val="center"/>
              <w:textAlignment w:val="auto"/>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10MHz</w:t>
            </w:r>
          </w:p>
        </w:tc>
        <w:tc>
          <w:tcPr>
            <w:tcW w:w="2469" w:type="dxa"/>
            <w:vAlign w:val="center"/>
          </w:tcPr>
          <w:p>
            <w:pPr>
              <w:keepNext w:val="0"/>
              <w:keepLines w:val="0"/>
              <w:pageBreakBefore w:val="0"/>
              <w:widowControl/>
              <w:kinsoku/>
              <w:wordWrap/>
              <w:overflowPunct/>
              <w:topLinePunct w:val="0"/>
              <w:autoSpaceDE/>
              <w:autoSpaceDN/>
              <w:bidi w:val="0"/>
              <w:adjustRightInd/>
              <w:snapToGrid w:val="0"/>
              <w:spacing w:before="60" w:beforeLines="0" w:after="60" w:afterLines="0" w:line="240" w:lineRule="auto"/>
              <w:jc w:val="center"/>
              <w:textAlignment w:val="auto"/>
              <w:rPr>
                <w:rFonts w:hint="default" w:ascii="Times New Roman" w:hAnsi="Times New Roman" w:eastAsia="宋体" w:cs="Times New Roman"/>
                <w:kern w:val="2"/>
                <w:sz w:val="20"/>
                <w:szCs w:val="20"/>
                <w:lang w:val="en-US" w:eastAsia="zh-CN" w:bidi="ar-SA"/>
              </w:rPr>
            </w:pPr>
            <w:r>
              <w:rPr>
                <w:rFonts w:hint="eastAsia" w:cs="Times New Roman"/>
                <w:sz w:val="20"/>
                <w:szCs w:val="20"/>
                <w:lang w:val="en-US" w:eastAsia="zh-CN"/>
              </w:rPr>
              <w:t>BW</w:t>
            </w:r>
            <w:r>
              <w:rPr>
                <w:rFonts w:hint="eastAsia" w:cs="Times New Roman"/>
                <w:sz w:val="20"/>
                <w:szCs w:val="20"/>
                <w:vertAlign w:val="subscript"/>
                <w:lang w:val="en-US" w:eastAsia="zh-CN"/>
              </w:rPr>
              <w:t>channel</w:t>
            </w:r>
            <w:r>
              <w:rPr>
                <w:rFonts w:hint="default" w:ascii="Times New Roman" w:hAnsi="Times New Roman" w:eastAsia="宋体" w:cs="Times New Roman"/>
                <w:kern w:val="2"/>
                <w:sz w:val="20"/>
                <w:szCs w:val="20"/>
                <w:lang w:val="en-US" w:eastAsia="zh-CN" w:bidi="ar-SA"/>
              </w:rPr>
              <w:t xml:space="preserve"> + 10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vAlign w:val="center"/>
          </w:tcPr>
          <w:p>
            <w:pPr>
              <w:keepNext w:val="0"/>
              <w:keepLines w:val="0"/>
              <w:pageBreakBefore w:val="0"/>
              <w:widowControl/>
              <w:kinsoku/>
              <w:wordWrap/>
              <w:overflowPunct/>
              <w:topLinePunct w:val="0"/>
              <w:autoSpaceDE/>
              <w:autoSpaceDN/>
              <w:bidi w:val="0"/>
              <w:adjustRightInd/>
              <w:snapToGrid w:val="0"/>
              <w:spacing w:before="60" w:beforeLines="0" w:after="60" w:afterLines="0" w:line="240" w:lineRule="auto"/>
              <w:jc w:val="center"/>
              <w:textAlignment w:val="auto"/>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lang w:val="en-US" w:eastAsia="zh-CN" w:bidi="ar-SA"/>
              </w:rPr>
              <w:t xml:space="preserve">1 GHz </w:t>
            </w:r>
            <w:r>
              <w:rPr>
                <w:rFonts w:hint="eastAsia" w:cs="Times New Roman"/>
                <w:kern w:val="2"/>
                <w:sz w:val="20"/>
                <w:szCs w:val="20"/>
                <w:lang w:val="en-US" w:eastAsia="zh-CN" w:bidi="ar-SA"/>
              </w:rPr>
              <w:t>&lt;</w:t>
            </w:r>
            <w:r>
              <w:rPr>
                <w:rFonts w:hint="eastAsia" w:ascii="Times New Roman" w:hAnsi="Times New Roman" w:eastAsia="宋体" w:cs="Times New Roman"/>
                <w:kern w:val="2"/>
                <w:sz w:val="20"/>
                <w:szCs w:val="20"/>
                <w:lang w:val="en-US" w:eastAsia="zh-CN" w:bidi="ar-SA"/>
              </w:rPr>
              <w:t xml:space="preserve"> </w:t>
            </w:r>
            <w:r>
              <w:rPr>
                <w:rFonts w:hint="eastAsia" w:cs="Times New Roman"/>
                <w:i/>
                <w:iCs/>
                <w:sz w:val="20"/>
                <w:szCs w:val="20"/>
                <w:lang w:val="en-US" w:eastAsia="zh-CN"/>
              </w:rPr>
              <w:t>f</w:t>
            </w:r>
            <w:r>
              <w:rPr>
                <w:rFonts w:hint="eastAsia" w:cs="Times New Roman"/>
                <w:i/>
                <w:iCs/>
                <w:sz w:val="20"/>
                <w:szCs w:val="20"/>
                <w:vertAlign w:val="subscript"/>
                <w:lang w:val="en-US" w:eastAsia="zh-CN"/>
              </w:rPr>
              <w:t>c</w:t>
            </w:r>
            <w:r>
              <w:rPr>
                <w:rFonts w:hint="eastAsia" w:ascii="Times New Roman" w:hAnsi="Times New Roman" w:eastAsia="宋体" w:cs="Times New Roman"/>
                <w:kern w:val="2"/>
                <w:sz w:val="20"/>
                <w:szCs w:val="20"/>
                <w:lang w:val="en-US" w:eastAsia="zh-CN" w:bidi="ar-SA"/>
              </w:rPr>
              <w:t xml:space="preserve"> </w:t>
            </w:r>
            <w:r>
              <w:rPr>
                <w:rFonts w:hint="eastAsia" w:cs="Times New Roman"/>
                <w:kern w:val="2"/>
                <w:sz w:val="20"/>
                <w:szCs w:val="20"/>
                <w:lang w:val="en-US" w:eastAsia="zh-CN" w:bidi="ar-SA"/>
              </w:rPr>
              <w:t>&lt;</w:t>
            </w:r>
            <w:r>
              <w:rPr>
                <w:rFonts w:hint="eastAsia" w:ascii="Times New Roman" w:hAnsi="Times New Roman" w:eastAsia="宋体" w:cs="Times New Roman"/>
                <w:kern w:val="2"/>
                <w:sz w:val="20"/>
                <w:szCs w:val="20"/>
                <w:lang w:val="en-US" w:eastAsia="zh-CN" w:bidi="ar-SA"/>
              </w:rPr>
              <w:t xml:space="preserve"> </w:t>
            </w:r>
            <w:r>
              <w:rPr>
                <w:rFonts w:hint="default" w:ascii="Times New Roman" w:hAnsi="Times New Roman" w:eastAsia="宋体" w:cs="Times New Roman"/>
                <w:kern w:val="2"/>
                <w:sz w:val="20"/>
                <w:szCs w:val="20"/>
                <w:lang w:val="en-US" w:eastAsia="zh-CN" w:bidi="ar-SA"/>
              </w:rPr>
              <w:t>3 GHz</w:t>
            </w:r>
          </w:p>
        </w:tc>
        <w:tc>
          <w:tcPr>
            <w:tcW w:w="2469" w:type="dxa"/>
            <w:vAlign w:val="center"/>
          </w:tcPr>
          <w:p>
            <w:pPr>
              <w:keepNext w:val="0"/>
              <w:keepLines w:val="0"/>
              <w:pageBreakBefore w:val="0"/>
              <w:widowControl/>
              <w:kinsoku/>
              <w:wordWrap/>
              <w:overflowPunct/>
              <w:topLinePunct w:val="0"/>
              <w:autoSpaceDE/>
              <w:autoSpaceDN/>
              <w:bidi w:val="0"/>
              <w:adjustRightInd/>
              <w:snapToGrid w:val="0"/>
              <w:spacing w:before="60" w:beforeLines="0" w:after="60" w:afterLines="0" w:line="240" w:lineRule="auto"/>
              <w:jc w:val="center"/>
              <w:textAlignment w:val="auto"/>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lang w:val="en-US" w:eastAsia="zh-CN" w:bidi="ar-SA"/>
              </w:rPr>
              <w:t>2</w:t>
            </w:r>
            <w:r>
              <w:rPr>
                <w:rFonts w:hint="eastAsia" w:cs="Times New Roman"/>
                <w:kern w:val="2"/>
                <w:sz w:val="20"/>
                <w:szCs w:val="20"/>
                <w:lang w:val="en-US" w:eastAsia="zh-CN" w:bidi="ar-SA"/>
              </w:rPr>
              <w:t>*</w:t>
            </w:r>
            <w:r>
              <w:rPr>
                <w:rFonts w:hint="eastAsia" w:cs="Times New Roman"/>
                <w:sz w:val="20"/>
                <w:szCs w:val="20"/>
                <w:lang w:val="en-US" w:eastAsia="zh-CN"/>
              </w:rPr>
              <w:t>BW</w:t>
            </w:r>
            <w:r>
              <w:rPr>
                <w:rFonts w:hint="eastAsia" w:cs="Times New Roman"/>
                <w:sz w:val="20"/>
                <w:szCs w:val="20"/>
                <w:vertAlign w:val="subscript"/>
                <w:lang w:val="en-US" w:eastAsia="zh-CN"/>
              </w:rPr>
              <w:t>channel</w:t>
            </w:r>
          </w:p>
        </w:tc>
        <w:tc>
          <w:tcPr>
            <w:tcW w:w="2469" w:type="dxa"/>
            <w:vAlign w:val="center"/>
          </w:tcPr>
          <w:p>
            <w:pPr>
              <w:keepNext w:val="0"/>
              <w:keepLines w:val="0"/>
              <w:pageBreakBefore w:val="0"/>
              <w:widowControl/>
              <w:kinsoku/>
              <w:wordWrap/>
              <w:overflowPunct/>
              <w:topLinePunct w:val="0"/>
              <w:autoSpaceDE/>
              <w:autoSpaceDN/>
              <w:bidi w:val="0"/>
              <w:adjustRightInd/>
              <w:snapToGrid w:val="0"/>
              <w:spacing w:before="60" w:beforeLines="0" w:after="60" w:afterLines="0" w:line="240" w:lineRule="auto"/>
              <w:jc w:val="center"/>
              <w:textAlignment w:val="auto"/>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50MHz</w:t>
            </w:r>
          </w:p>
        </w:tc>
        <w:tc>
          <w:tcPr>
            <w:tcW w:w="2469" w:type="dxa"/>
            <w:vAlign w:val="center"/>
          </w:tcPr>
          <w:p>
            <w:pPr>
              <w:keepNext w:val="0"/>
              <w:keepLines w:val="0"/>
              <w:pageBreakBefore w:val="0"/>
              <w:widowControl/>
              <w:kinsoku/>
              <w:wordWrap/>
              <w:overflowPunct/>
              <w:topLinePunct w:val="0"/>
              <w:autoSpaceDE/>
              <w:autoSpaceDN/>
              <w:bidi w:val="0"/>
              <w:adjustRightInd/>
              <w:snapToGrid w:val="0"/>
              <w:spacing w:before="60" w:beforeLines="0" w:after="60" w:afterLines="0" w:line="240" w:lineRule="auto"/>
              <w:jc w:val="center"/>
              <w:textAlignment w:val="auto"/>
              <w:rPr>
                <w:rFonts w:hint="default" w:ascii="Times New Roman" w:hAnsi="Times New Roman" w:eastAsia="宋体" w:cs="Times New Roman"/>
                <w:kern w:val="2"/>
                <w:sz w:val="20"/>
                <w:szCs w:val="20"/>
                <w:lang w:val="en-US" w:eastAsia="zh-CN" w:bidi="ar-SA"/>
              </w:rPr>
            </w:pPr>
            <w:r>
              <w:rPr>
                <w:rFonts w:hint="eastAsia" w:cs="Times New Roman"/>
                <w:sz w:val="20"/>
                <w:szCs w:val="20"/>
                <w:lang w:val="en-US" w:eastAsia="zh-CN"/>
              </w:rPr>
              <w:t>BW</w:t>
            </w:r>
            <w:r>
              <w:rPr>
                <w:rFonts w:hint="eastAsia" w:cs="Times New Roman"/>
                <w:sz w:val="20"/>
                <w:szCs w:val="20"/>
                <w:vertAlign w:val="subscript"/>
                <w:lang w:val="en-US" w:eastAsia="zh-CN"/>
              </w:rPr>
              <w:t>channel</w:t>
            </w:r>
            <w:r>
              <w:rPr>
                <w:rFonts w:hint="default" w:ascii="Times New Roman" w:hAnsi="Times New Roman" w:eastAsia="宋体" w:cs="Times New Roman"/>
                <w:kern w:val="2"/>
                <w:sz w:val="20"/>
                <w:szCs w:val="20"/>
                <w:lang w:val="en-US" w:eastAsia="zh-CN" w:bidi="ar-SA"/>
              </w:rPr>
              <w:t xml:space="preserve"> + 50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vAlign w:val="center"/>
          </w:tcPr>
          <w:p>
            <w:pPr>
              <w:keepNext w:val="0"/>
              <w:keepLines w:val="0"/>
              <w:pageBreakBefore w:val="0"/>
              <w:widowControl/>
              <w:kinsoku/>
              <w:wordWrap/>
              <w:overflowPunct/>
              <w:topLinePunct w:val="0"/>
              <w:autoSpaceDE/>
              <w:autoSpaceDN/>
              <w:bidi w:val="0"/>
              <w:adjustRightInd/>
              <w:snapToGrid w:val="0"/>
              <w:spacing w:before="60" w:beforeLines="0" w:after="60" w:afterLines="0" w:line="240" w:lineRule="auto"/>
              <w:jc w:val="center"/>
              <w:textAlignment w:val="auto"/>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lang w:val="en-US" w:eastAsia="zh-CN" w:bidi="ar-SA"/>
              </w:rPr>
              <w:t xml:space="preserve">3 GHz </w:t>
            </w:r>
            <w:r>
              <w:rPr>
                <w:rFonts w:hint="eastAsia" w:cs="Times New Roman"/>
                <w:kern w:val="2"/>
                <w:sz w:val="20"/>
                <w:szCs w:val="20"/>
                <w:lang w:val="en-US" w:eastAsia="zh-CN" w:bidi="ar-SA"/>
              </w:rPr>
              <w:t>&lt;</w:t>
            </w:r>
            <w:r>
              <w:rPr>
                <w:rFonts w:hint="eastAsia" w:ascii="Times New Roman" w:hAnsi="Times New Roman" w:eastAsia="宋体" w:cs="Times New Roman"/>
                <w:kern w:val="2"/>
                <w:sz w:val="20"/>
                <w:szCs w:val="20"/>
                <w:lang w:val="en-US" w:eastAsia="zh-CN" w:bidi="ar-SA"/>
              </w:rPr>
              <w:t xml:space="preserve"> </w:t>
            </w:r>
            <w:r>
              <w:rPr>
                <w:rFonts w:hint="eastAsia" w:cs="Times New Roman"/>
                <w:i/>
                <w:iCs/>
                <w:sz w:val="20"/>
                <w:szCs w:val="20"/>
                <w:lang w:val="en-US" w:eastAsia="zh-CN"/>
              </w:rPr>
              <w:t>f</w:t>
            </w:r>
            <w:r>
              <w:rPr>
                <w:rFonts w:hint="eastAsia" w:cs="Times New Roman"/>
                <w:i/>
                <w:iCs/>
                <w:sz w:val="20"/>
                <w:szCs w:val="20"/>
                <w:vertAlign w:val="subscript"/>
                <w:lang w:val="en-US" w:eastAsia="zh-CN"/>
              </w:rPr>
              <w:t>c</w:t>
            </w:r>
            <w:r>
              <w:rPr>
                <w:rFonts w:hint="default" w:ascii="Times New Roman" w:hAnsi="Times New Roman" w:eastAsia="宋体" w:cs="Times New Roman"/>
                <w:kern w:val="2"/>
                <w:sz w:val="20"/>
                <w:szCs w:val="20"/>
                <w:lang w:val="en-US" w:eastAsia="zh-CN" w:bidi="ar-SA"/>
              </w:rPr>
              <w:t xml:space="preserve"> </w:t>
            </w:r>
            <w:r>
              <w:rPr>
                <w:rFonts w:hint="eastAsia" w:cs="Times New Roman"/>
                <w:kern w:val="2"/>
                <w:sz w:val="20"/>
                <w:szCs w:val="20"/>
                <w:lang w:val="en-US" w:eastAsia="zh-CN" w:bidi="ar-SA"/>
              </w:rPr>
              <w:t>&lt;</w:t>
            </w:r>
            <w:r>
              <w:rPr>
                <w:rFonts w:hint="eastAsia" w:ascii="Times New Roman" w:hAnsi="Times New Roman" w:eastAsia="宋体" w:cs="Times New Roman"/>
                <w:kern w:val="2"/>
                <w:sz w:val="20"/>
                <w:szCs w:val="20"/>
                <w:lang w:val="en-US" w:eastAsia="zh-CN" w:bidi="ar-SA"/>
              </w:rPr>
              <w:t xml:space="preserve"> </w:t>
            </w:r>
            <w:r>
              <w:rPr>
                <w:rFonts w:hint="default" w:ascii="Times New Roman" w:hAnsi="Times New Roman" w:eastAsia="宋体" w:cs="Times New Roman"/>
                <w:kern w:val="2"/>
                <w:sz w:val="20"/>
                <w:szCs w:val="20"/>
                <w:lang w:val="en-US" w:eastAsia="zh-CN" w:bidi="ar-SA"/>
              </w:rPr>
              <w:t>10 GHz</w:t>
            </w:r>
          </w:p>
        </w:tc>
        <w:tc>
          <w:tcPr>
            <w:tcW w:w="2469" w:type="dxa"/>
            <w:vAlign w:val="center"/>
          </w:tcPr>
          <w:p>
            <w:pPr>
              <w:keepNext w:val="0"/>
              <w:keepLines w:val="0"/>
              <w:pageBreakBefore w:val="0"/>
              <w:widowControl/>
              <w:kinsoku/>
              <w:wordWrap/>
              <w:overflowPunct/>
              <w:topLinePunct w:val="0"/>
              <w:autoSpaceDE/>
              <w:autoSpaceDN/>
              <w:bidi w:val="0"/>
              <w:adjustRightInd/>
              <w:snapToGrid w:val="0"/>
              <w:spacing w:before="60" w:beforeLines="0" w:after="60" w:afterLines="0" w:line="240" w:lineRule="auto"/>
              <w:jc w:val="center"/>
              <w:textAlignment w:val="auto"/>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lang w:val="en-US" w:eastAsia="zh-CN" w:bidi="ar-SA"/>
              </w:rPr>
              <w:t>2</w:t>
            </w:r>
            <w:r>
              <w:rPr>
                <w:rFonts w:hint="eastAsia" w:cs="Times New Roman"/>
                <w:kern w:val="2"/>
                <w:sz w:val="20"/>
                <w:szCs w:val="20"/>
                <w:lang w:val="en-US" w:eastAsia="zh-CN" w:bidi="ar-SA"/>
              </w:rPr>
              <w:t>*</w:t>
            </w:r>
            <w:r>
              <w:rPr>
                <w:rFonts w:hint="eastAsia" w:cs="Times New Roman"/>
                <w:sz w:val="20"/>
                <w:szCs w:val="20"/>
                <w:lang w:val="en-US" w:eastAsia="zh-CN"/>
              </w:rPr>
              <w:t>BW</w:t>
            </w:r>
            <w:r>
              <w:rPr>
                <w:rFonts w:hint="eastAsia" w:cs="Times New Roman"/>
                <w:sz w:val="20"/>
                <w:szCs w:val="20"/>
                <w:vertAlign w:val="subscript"/>
                <w:lang w:val="en-US" w:eastAsia="zh-CN"/>
              </w:rPr>
              <w:t>channel</w:t>
            </w:r>
          </w:p>
        </w:tc>
        <w:tc>
          <w:tcPr>
            <w:tcW w:w="2469" w:type="dxa"/>
            <w:vAlign w:val="center"/>
          </w:tcPr>
          <w:p>
            <w:pPr>
              <w:keepNext w:val="0"/>
              <w:keepLines w:val="0"/>
              <w:pageBreakBefore w:val="0"/>
              <w:widowControl/>
              <w:kinsoku/>
              <w:wordWrap/>
              <w:overflowPunct/>
              <w:topLinePunct w:val="0"/>
              <w:autoSpaceDE/>
              <w:autoSpaceDN/>
              <w:bidi w:val="0"/>
              <w:adjustRightInd/>
              <w:snapToGrid w:val="0"/>
              <w:spacing w:before="60" w:beforeLines="0" w:after="60" w:afterLines="0" w:line="240" w:lineRule="auto"/>
              <w:jc w:val="center"/>
              <w:textAlignment w:val="auto"/>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100MHz</w:t>
            </w:r>
          </w:p>
        </w:tc>
        <w:tc>
          <w:tcPr>
            <w:tcW w:w="2469" w:type="dxa"/>
            <w:vAlign w:val="center"/>
          </w:tcPr>
          <w:p>
            <w:pPr>
              <w:keepNext w:val="0"/>
              <w:keepLines w:val="0"/>
              <w:pageBreakBefore w:val="0"/>
              <w:widowControl/>
              <w:kinsoku/>
              <w:wordWrap/>
              <w:overflowPunct/>
              <w:topLinePunct w:val="0"/>
              <w:autoSpaceDE/>
              <w:autoSpaceDN/>
              <w:bidi w:val="0"/>
              <w:adjustRightInd/>
              <w:snapToGrid w:val="0"/>
              <w:spacing w:before="60" w:beforeLines="0" w:after="60" w:afterLines="0" w:line="240" w:lineRule="auto"/>
              <w:jc w:val="center"/>
              <w:textAlignment w:val="auto"/>
              <w:rPr>
                <w:rFonts w:hint="default" w:ascii="Times New Roman" w:hAnsi="Times New Roman" w:eastAsia="宋体" w:cs="Times New Roman"/>
                <w:kern w:val="2"/>
                <w:sz w:val="20"/>
                <w:szCs w:val="20"/>
                <w:lang w:val="en-US" w:eastAsia="zh-CN" w:bidi="ar-SA"/>
              </w:rPr>
            </w:pPr>
            <w:r>
              <w:rPr>
                <w:rFonts w:hint="eastAsia" w:cs="Times New Roman"/>
                <w:sz w:val="20"/>
                <w:szCs w:val="20"/>
                <w:lang w:val="en-US" w:eastAsia="zh-CN"/>
              </w:rPr>
              <w:t>BW</w:t>
            </w:r>
            <w:r>
              <w:rPr>
                <w:rFonts w:hint="eastAsia" w:cs="Times New Roman"/>
                <w:sz w:val="20"/>
                <w:szCs w:val="20"/>
                <w:vertAlign w:val="subscript"/>
                <w:lang w:val="en-US" w:eastAsia="zh-CN"/>
              </w:rPr>
              <w:t>channel</w:t>
            </w:r>
            <w:r>
              <w:rPr>
                <w:rFonts w:hint="default" w:ascii="Times New Roman" w:hAnsi="Times New Roman" w:eastAsia="宋体" w:cs="Times New Roman"/>
                <w:kern w:val="2"/>
                <w:sz w:val="20"/>
                <w:szCs w:val="20"/>
                <w:lang w:val="en-US" w:eastAsia="zh-CN" w:bidi="ar-SA"/>
              </w:rPr>
              <w:t xml:space="preserve"> + 100 MHz</w:t>
            </w:r>
          </w:p>
        </w:tc>
      </w:tr>
    </w:tbl>
    <w:p>
      <w:pPr>
        <w:rPr>
          <w:rFonts w:hint="default"/>
          <w:sz w:val="20"/>
          <w:szCs w:val="20"/>
          <w:lang w:val="en-US" w:eastAsia="zh-CN"/>
        </w:rPr>
      </w:pPr>
    </w:p>
    <w:p>
      <w:pPr>
        <w:rPr>
          <w:rFonts w:hint="default"/>
          <w:sz w:val="20"/>
          <w:szCs w:val="20"/>
          <w:lang w:val="en-US" w:eastAsia="zh-CN"/>
        </w:rPr>
      </w:pPr>
      <w:r>
        <w:rPr>
          <w:rFonts w:hint="eastAsia"/>
          <w:sz w:val="20"/>
          <w:szCs w:val="20"/>
          <w:lang w:val="en-US" w:eastAsia="zh-CN"/>
        </w:rPr>
        <w:t xml:space="preserve">Comparing </w:t>
      </w:r>
      <w:r>
        <w:rPr>
          <w:rFonts w:hint="eastAsia" w:cs="Times New Roman"/>
          <w:sz w:val="20"/>
          <w:szCs w:val="20"/>
          <w:lang w:val="en-US" w:eastAsia="zh-CN"/>
        </w:rPr>
        <w:t>BW</w:t>
      </w:r>
      <w:r>
        <w:rPr>
          <w:rFonts w:hint="eastAsia" w:cs="Times New Roman"/>
          <w:sz w:val="20"/>
          <w:szCs w:val="20"/>
          <w:vertAlign w:val="subscript"/>
          <w:lang w:val="en-US" w:eastAsia="zh-CN"/>
        </w:rPr>
        <w:t>channel</w:t>
      </w:r>
      <w:r>
        <w:rPr>
          <w:rFonts w:hint="eastAsia" w:cs="Times New Roman"/>
          <w:sz w:val="20"/>
          <w:szCs w:val="20"/>
          <w:lang w:val="en-US" w:eastAsia="zh-CN"/>
        </w:rPr>
        <w:t xml:space="preserve"> +5 with separation in </w:t>
      </w:r>
      <w:r>
        <w:rPr>
          <w:rFonts w:hint="eastAsia"/>
          <w:sz w:val="20"/>
          <w:szCs w:val="20"/>
          <w:lang w:val="en-US" w:eastAsia="zh-CN"/>
        </w:rPr>
        <w:t xml:space="preserve">the above table, we can conclude that OOB boundary defined in 3GPP is stricter than ITU. For example, when </w:t>
      </w:r>
      <w:r>
        <w:rPr>
          <w:rFonts w:hint="default" w:ascii="Times New Roman" w:hAnsi="Times New Roman" w:eastAsia="宋体" w:cs="Times New Roman"/>
          <w:kern w:val="2"/>
          <w:sz w:val="20"/>
          <w:szCs w:val="20"/>
          <w:lang w:val="en-US" w:eastAsia="zh-CN" w:bidi="ar-SA"/>
        </w:rPr>
        <w:t xml:space="preserve">30 MHz </w:t>
      </w:r>
      <w:r>
        <w:rPr>
          <w:rFonts w:hint="eastAsia" w:cs="Times New Roman"/>
          <w:kern w:val="2"/>
          <w:sz w:val="20"/>
          <w:szCs w:val="20"/>
          <w:lang w:val="en-US" w:eastAsia="zh-CN" w:bidi="ar-SA"/>
        </w:rPr>
        <w:t>&lt;</w:t>
      </w:r>
      <w:r>
        <w:rPr>
          <w:rFonts w:hint="eastAsia" w:ascii="Times New Roman" w:hAnsi="Times New Roman" w:eastAsia="宋体" w:cs="Times New Roman"/>
          <w:kern w:val="2"/>
          <w:sz w:val="20"/>
          <w:szCs w:val="20"/>
          <w:lang w:val="en-US" w:eastAsia="zh-CN" w:bidi="ar-SA"/>
        </w:rPr>
        <w:t xml:space="preserve"> </w:t>
      </w:r>
      <w:r>
        <w:rPr>
          <w:rFonts w:hint="eastAsia" w:cs="Times New Roman"/>
          <w:i/>
          <w:iCs/>
          <w:sz w:val="20"/>
          <w:szCs w:val="20"/>
          <w:lang w:val="en-US" w:eastAsia="zh-CN"/>
        </w:rPr>
        <w:t>f</w:t>
      </w:r>
      <w:r>
        <w:rPr>
          <w:rFonts w:hint="eastAsia" w:cs="Times New Roman"/>
          <w:i/>
          <w:iCs/>
          <w:sz w:val="20"/>
          <w:szCs w:val="20"/>
          <w:vertAlign w:val="subscript"/>
          <w:lang w:val="en-US" w:eastAsia="zh-CN"/>
        </w:rPr>
        <w:t>c</w:t>
      </w:r>
      <w:r>
        <w:rPr>
          <w:rFonts w:hint="eastAsia" w:ascii="Times New Roman" w:hAnsi="Times New Roman" w:eastAsia="宋体" w:cs="Times New Roman"/>
          <w:kern w:val="2"/>
          <w:sz w:val="20"/>
          <w:szCs w:val="20"/>
          <w:lang w:val="en-US" w:eastAsia="zh-CN" w:bidi="ar-SA"/>
        </w:rPr>
        <w:t xml:space="preserve"> </w:t>
      </w:r>
      <w:r>
        <w:rPr>
          <w:rFonts w:hint="eastAsia" w:cs="Times New Roman"/>
          <w:kern w:val="2"/>
          <w:sz w:val="20"/>
          <w:szCs w:val="20"/>
          <w:lang w:val="en-US" w:eastAsia="zh-CN" w:bidi="ar-SA"/>
        </w:rPr>
        <w:t>&lt;</w:t>
      </w:r>
      <w:r>
        <w:rPr>
          <w:rFonts w:hint="eastAsia" w:ascii="Times New Roman" w:hAnsi="Times New Roman" w:eastAsia="宋体" w:cs="Times New Roman"/>
          <w:kern w:val="2"/>
          <w:sz w:val="20"/>
          <w:szCs w:val="20"/>
          <w:lang w:val="en-US" w:eastAsia="zh-CN" w:bidi="ar-SA"/>
        </w:rPr>
        <w:t xml:space="preserve"> </w:t>
      </w:r>
      <w:r>
        <w:rPr>
          <w:rFonts w:hint="default" w:ascii="Times New Roman" w:hAnsi="Times New Roman" w:eastAsia="宋体" w:cs="Times New Roman"/>
          <w:kern w:val="2"/>
          <w:sz w:val="20"/>
          <w:szCs w:val="20"/>
          <w:lang w:val="en-US" w:eastAsia="zh-CN" w:bidi="ar-SA"/>
        </w:rPr>
        <w:t>1 GHz</w:t>
      </w:r>
      <w:r>
        <w:rPr>
          <w:rFonts w:hint="eastAsia" w:cs="Times New Roman"/>
          <w:kern w:val="2"/>
          <w:sz w:val="20"/>
          <w:szCs w:val="20"/>
          <w:lang w:val="en-US" w:eastAsia="zh-CN" w:bidi="ar-SA"/>
        </w:rPr>
        <w:t xml:space="preserve">, if </w:t>
      </w:r>
      <w:r>
        <w:rPr>
          <w:rFonts w:hint="eastAsia" w:cs="Times New Roman"/>
          <w:sz w:val="20"/>
          <w:szCs w:val="20"/>
          <w:lang w:val="en-US" w:eastAsia="zh-CN"/>
        </w:rPr>
        <w:t>BW</w:t>
      </w:r>
      <w:r>
        <w:rPr>
          <w:rFonts w:hint="eastAsia" w:cs="Times New Roman"/>
          <w:sz w:val="20"/>
          <w:szCs w:val="20"/>
          <w:vertAlign w:val="subscript"/>
          <w:lang w:val="en-US" w:eastAsia="zh-CN"/>
        </w:rPr>
        <w:t>channel</w:t>
      </w:r>
      <w:r>
        <w:rPr>
          <w:rFonts w:hint="eastAsia" w:cs="Times New Roman"/>
          <w:kern w:val="2"/>
          <w:sz w:val="20"/>
          <w:szCs w:val="20"/>
          <w:lang w:val="en-US" w:eastAsia="zh-CN" w:bidi="ar-SA"/>
        </w:rPr>
        <w:t>≥10MHz, OOB boundary defined in ITU is 5MHz larger than that defined in 3GPP. When</w:t>
      </w:r>
      <w:r>
        <w:rPr>
          <w:rFonts w:hint="eastAsia" w:ascii="Times New Roman" w:hAnsi="Times New Roman" w:eastAsia="宋体" w:cs="Times New Roman"/>
          <w:kern w:val="2"/>
          <w:sz w:val="20"/>
          <w:szCs w:val="20"/>
          <w:lang w:val="en-US" w:eastAsia="zh-CN" w:bidi="ar-SA"/>
        </w:rPr>
        <w:t xml:space="preserve"> </w:t>
      </w:r>
      <w:r>
        <w:rPr>
          <w:rFonts w:hint="eastAsia" w:cs="Times New Roman"/>
          <w:i/>
          <w:iCs/>
          <w:sz w:val="20"/>
          <w:szCs w:val="20"/>
          <w:lang w:val="en-US" w:eastAsia="zh-CN"/>
        </w:rPr>
        <w:t>f</w:t>
      </w:r>
      <w:r>
        <w:rPr>
          <w:rFonts w:hint="eastAsia" w:cs="Times New Roman"/>
          <w:i/>
          <w:iCs/>
          <w:sz w:val="20"/>
          <w:szCs w:val="20"/>
          <w:vertAlign w:val="subscript"/>
          <w:lang w:val="en-US" w:eastAsia="zh-CN"/>
        </w:rPr>
        <w:t>c</w:t>
      </w:r>
      <w:r>
        <w:rPr>
          <w:rFonts w:hint="eastAsia" w:ascii="Times New Roman" w:hAnsi="Times New Roman" w:eastAsia="宋体" w:cs="Times New Roman"/>
          <w:kern w:val="2"/>
          <w:sz w:val="20"/>
          <w:szCs w:val="20"/>
          <w:lang w:val="en-US" w:eastAsia="zh-CN" w:bidi="ar-SA"/>
        </w:rPr>
        <w:t xml:space="preserve"> </w:t>
      </w:r>
      <w:r>
        <w:rPr>
          <w:rFonts w:hint="eastAsia" w:cs="Times New Roman"/>
          <w:kern w:val="2"/>
          <w:sz w:val="20"/>
          <w:szCs w:val="20"/>
          <w:lang w:val="en-US" w:eastAsia="zh-CN" w:bidi="ar-SA"/>
        </w:rPr>
        <w:t>&gt;</w:t>
      </w:r>
      <w:r>
        <w:rPr>
          <w:rFonts w:hint="eastAsia" w:ascii="Times New Roman" w:hAnsi="Times New Roman" w:eastAsia="宋体" w:cs="Times New Roman"/>
          <w:kern w:val="2"/>
          <w:sz w:val="20"/>
          <w:szCs w:val="20"/>
          <w:lang w:val="en-US" w:eastAsia="zh-CN" w:bidi="ar-SA"/>
        </w:rPr>
        <w:t xml:space="preserve"> </w:t>
      </w:r>
      <w:r>
        <w:rPr>
          <w:rFonts w:hint="eastAsia" w:cs="Times New Roman"/>
          <w:kern w:val="2"/>
          <w:sz w:val="20"/>
          <w:szCs w:val="20"/>
          <w:lang w:val="en-US" w:eastAsia="zh-CN" w:bidi="ar-SA"/>
        </w:rPr>
        <w:t>1</w:t>
      </w:r>
      <w:r>
        <w:rPr>
          <w:rFonts w:hint="default" w:ascii="Times New Roman" w:hAnsi="Times New Roman" w:eastAsia="宋体" w:cs="Times New Roman"/>
          <w:kern w:val="2"/>
          <w:sz w:val="20"/>
          <w:szCs w:val="20"/>
          <w:lang w:val="en-US" w:eastAsia="zh-CN" w:bidi="ar-SA"/>
        </w:rPr>
        <w:t xml:space="preserve"> GHz</w:t>
      </w:r>
      <w:r>
        <w:rPr>
          <w:rFonts w:hint="eastAsia" w:cs="Times New Roman"/>
          <w:kern w:val="2"/>
          <w:sz w:val="20"/>
          <w:szCs w:val="20"/>
          <w:lang w:val="en-US" w:eastAsia="zh-CN" w:bidi="ar-SA"/>
        </w:rPr>
        <w:t xml:space="preserve">, if </w:t>
      </w:r>
      <w:r>
        <w:rPr>
          <w:rFonts w:hint="eastAsia" w:cs="Times New Roman"/>
          <w:sz w:val="20"/>
          <w:szCs w:val="20"/>
          <w:lang w:val="en-US" w:eastAsia="zh-CN"/>
        </w:rPr>
        <w:t>BW</w:t>
      </w:r>
      <w:r>
        <w:rPr>
          <w:rFonts w:hint="eastAsia" w:cs="Times New Roman"/>
          <w:sz w:val="20"/>
          <w:szCs w:val="20"/>
          <w:vertAlign w:val="subscript"/>
          <w:lang w:val="en-US" w:eastAsia="zh-CN"/>
        </w:rPr>
        <w:t>channel</w:t>
      </w:r>
      <w:r>
        <w:rPr>
          <w:rFonts w:hint="eastAsia" w:cs="Times New Roman"/>
          <w:kern w:val="2"/>
          <w:sz w:val="20"/>
          <w:szCs w:val="20"/>
          <w:lang w:val="en-US" w:eastAsia="zh-CN" w:bidi="ar-SA"/>
        </w:rPr>
        <w:t>≥10MHz, OOB boundary defined in ITU is 1/</w:t>
      </w:r>
      <w:r>
        <w:rPr>
          <w:rFonts w:hint="default" w:ascii="Times New Roman" w:hAnsi="Times New Roman" w:eastAsia="宋体" w:cs="Times New Roman"/>
          <w:kern w:val="2"/>
          <w:sz w:val="20"/>
          <w:szCs w:val="20"/>
          <w:lang w:val="en-US" w:eastAsia="zh-CN" w:bidi="ar-SA"/>
        </w:rPr>
        <w:t>2</w:t>
      </w:r>
      <w:r>
        <w:rPr>
          <w:rFonts w:hint="eastAsia" w:cs="Times New Roman"/>
          <w:kern w:val="2"/>
          <w:sz w:val="20"/>
          <w:szCs w:val="20"/>
          <w:lang w:val="en-US" w:eastAsia="zh-CN" w:bidi="ar-SA"/>
        </w:rPr>
        <w:t>*</w:t>
      </w:r>
      <w:r>
        <w:rPr>
          <w:rFonts w:hint="eastAsia" w:cs="Times New Roman"/>
          <w:sz w:val="20"/>
          <w:szCs w:val="20"/>
          <w:lang w:val="en-US" w:eastAsia="zh-CN"/>
        </w:rPr>
        <w:t>BW</w:t>
      </w:r>
      <w:r>
        <w:rPr>
          <w:rFonts w:hint="eastAsia" w:cs="Times New Roman"/>
          <w:sz w:val="20"/>
          <w:szCs w:val="20"/>
          <w:vertAlign w:val="subscript"/>
          <w:lang w:val="en-US" w:eastAsia="zh-CN"/>
        </w:rPr>
        <w:t>channel</w:t>
      </w:r>
      <w:r>
        <w:rPr>
          <w:rFonts w:hint="eastAsia" w:cs="Times New Roman"/>
          <w:kern w:val="2"/>
          <w:sz w:val="20"/>
          <w:szCs w:val="20"/>
          <w:lang w:val="en-US" w:eastAsia="zh-CN" w:bidi="ar-SA"/>
        </w:rPr>
        <w:t xml:space="preserve"> and even more larger than that defined in 3GPP. From this perspective, for </w:t>
      </w:r>
      <w:r>
        <w:rPr>
          <w:rFonts w:hint="eastAsia" w:cs="Times New Roman"/>
          <w:sz w:val="20"/>
          <w:szCs w:val="20"/>
          <w:lang w:val="en-US" w:eastAsia="zh-CN"/>
        </w:rPr>
        <w:t>BW</w:t>
      </w:r>
      <w:r>
        <w:rPr>
          <w:rFonts w:hint="eastAsia" w:cs="Times New Roman"/>
          <w:sz w:val="20"/>
          <w:szCs w:val="20"/>
          <w:vertAlign w:val="subscript"/>
          <w:lang w:val="en-US" w:eastAsia="zh-CN"/>
        </w:rPr>
        <w:t>channel</w:t>
      </w:r>
      <w:r>
        <w:rPr>
          <w:rFonts w:hint="eastAsia" w:cs="Times New Roman"/>
          <w:kern w:val="2"/>
          <w:sz w:val="20"/>
          <w:szCs w:val="20"/>
          <w:lang w:val="en-US" w:eastAsia="zh-CN" w:bidi="ar-SA"/>
        </w:rPr>
        <w:t xml:space="preserve">≥10MHz with </w:t>
      </w:r>
      <w:r>
        <w:rPr>
          <w:rFonts w:hint="default" w:ascii="Times New Roman" w:hAnsi="Times New Roman" w:eastAsia="宋体" w:cs="Times New Roman"/>
          <w:kern w:val="2"/>
          <w:sz w:val="20"/>
          <w:szCs w:val="20"/>
          <w:lang w:val="en-US" w:eastAsia="zh-CN" w:bidi="ar-SA"/>
        </w:rPr>
        <w:t xml:space="preserve">30 MHz </w:t>
      </w:r>
      <w:r>
        <w:rPr>
          <w:rFonts w:hint="eastAsia" w:cs="Times New Roman"/>
          <w:kern w:val="2"/>
          <w:sz w:val="20"/>
          <w:szCs w:val="20"/>
          <w:lang w:val="en-US" w:eastAsia="zh-CN" w:bidi="ar-SA"/>
        </w:rPr>
        <w:t>&lt;</w:t>
      </w:r>
      <w:r>
        <w:rPr>
          <w:rFonts w:hint="eastAsia" w:ascii="Times New Roman" w:hAnsi="Times New Roman" w:eastAsia="宋体" w:cs="Times New Roman"/>
          <w:kern w:val="2"/>
          <w:sz w:val="20"/>
          <w:szCs w:val="20"/>
          <w:lang w:val="en-US" w:eastAsia="zh-CN" w:bidi="ar-SA"/>
        </w:rPr>
        <w:t xml:space="preserve"> </w:t>
      </w:r>
      <w:r>
        <w:rPr>
          <w:rFonts w:hint="eastAsia" w:cs="Times New Roman"/>
          <w:i/>
          <w:iCs/>
          <w:sz w:val="20"/>
          <w:szCs w:val="20"/>
          <w:lang w:val="en-US" w:eastAsia="zh-CN"/>
        </w:rPr>
        <w:t>f</w:t>
      </w:r>
      <w:r>
        <w:rPr>
          <w:rFonts w:hint="eastAsia" w:cs="Times New Roman"/>
          <w:i/>
          <w:iCs/>
          <w:sz w:val="20"/>
          <w:szCs w:val="20"/>
          <w:vertAlign w:val="subscript"/>
          <w:lang w:val="en-US" w:eastAsia="zh-CN"/>
        </w:rPr>
        <w:t>c</w:t>
      </w:r>
      <w:r>
        <w:rPr>
          <w:rFonts w:hint="eastAsia" w:ascii="Times New Roman" w:hAnsi="Times New Roman" w:eastAsia="宋体" w:cs="Times New Roman"/>
          <w:kern w:val="2"/>
          <w:sz w:val="20"/>
          <w:szCs w:val="20"/>
          <w:lang w:val="en-US" w:eastAsia="zh-CN" w:bidi="ar-SA"/>
        </w:rPr>
        <w:t xml:space="preserve"> </w:t>
      </w:r>
      <w:r>
        <w:rPr>
          <w:rFonts w:hint="eastAsia" w:cs="Times New Roman"/>
          <w:kern w:val="2"/>
          <w:sz w:val="20"/>
          <w:szCs w:val="20"/>
          <w:lang w:val="en-US" w:eastAsia="zh-CN" w:bidi="ar-SA"/>
        </w:rPr>
        <w:t>&lt;</w:t>
      </w:r>
      <w:r>
        <w:rPr>
          <w:rFonts w:hint="eastAsia" w:ascii="Times New Roman" w:hAnsi="Times New Roman" w:eastAsia="宋体" w:cs="Times New Roman"/>
          <w:kern w:val="2"/>
          <w:sz w:val="20"/>
          <w:szCs w:val="20"/>
          <w:lang w:val="en-US" w:eastAsia="zh-CN" w:bidi="ar-SA"/>
        </w:rPr>
        <w:t xml:space="preserve"> </w:t>
      </w:r>
      <w:r>
        <w:rPr>
          <w:rFonts w:hint="default" w:ascii="Times New Roman" w:hAnsi="Times New Roman" w:eastAsia="宋体" w:cs="Times New Roman"/>
          <w:kern w:val="2"/>
          <w:sz w:val="20"/>
          <w:szCs w:val="20"/>
          <w:lang w:val="en-US" w:eastAsia="zh-CN" w:bidi="ar-SA"/>
        </w:rPr>
        <w:t>1 GHz</w:t>
      </w:r>
      <w:r>
        <w:rPr>
          <w:rFonts w:hint="eastAsia" w:cs="Times New Roman"/>
          <w:kern w:val="2"/>
          <w:sz w:val="20"/>
          <w:szCs w:val="20"/>
          <w:lang w:val="en-US" w:eastAsia="zh-CN" w:bidi="ar-SA"/>
        </w:rPr>
        <w:t xml:space="preserve">, there are 5MHz of OOB boundary can be relaxed, and for </w:t>
      </w:r>
      <w:r>
        <w:rPr>
          <w:rFonts w:hint="eastAsia" w:cs="Times New Roman"/>
          <w:sz w:val="20"/>
          <w:szCs w:val="20"/>
          <w:lang w:val="en-US" w:eastAsia="zh-CN"/>
        </w:rPr>
        <w:t>BW</w:t>
      </w:r>
      <w:r>
        <w:rPr>
          <w:rFonts w:hint="eastAsia" w:cs="Times New Roman"/>
          <w:sz w:val="20"/>
          <w:szCs w:val="20"/>
          <w:vertAlign w:val="subscript"/>
          <w:lang w:val="en-US" w:eastAsia="zh-CN"/>
        </w:rPr>
        <w:t>channel</w:t>
      </w:r>
      <w:r>
        <w:rPr>
          <w:rFonts w:hint="eastAsia" w:cs="Times New Roman"/>
          <w:kern w:val="2"/>
          <w:sz w:val="20"/>
          <w:szCs w:val="20"/>
          <w:lang w:val="en-US" w:eastAsia="zh-CN" w:bidi="ar-SA"/>
        </w:rPr>
        <w:t xml:space="preserve">≥10MHz with </w:t>
      </w:r>
      <w:r>
        <w:rPr>
          <w:rFonts w:hint="eastAsia" w:cs="Times New Roman"/>
          <w:i/>
          <w:iCs/>
          <w:sz w:val="20"/>
          <w:szCs w:val="20"/>
          <w:lang w:val="en-US" w:eastAsia="zh-CN"/>
        </w:rPr>
        <w:t>f</w:t>
      </w:r>
      <w:r>
        <w:rPr>
          <w:rFonts w:hint="eastAsia" w:cs="Times New Roman"/>
          <w:i/>
          <w:iCs/>
          <w:sz w:val="20"/>
          <w:szCs w:val="20"/>
          <w:vertAlign w:val="subscript"/>
          <w:lang w:val="en-US" w:eastAsia="zh-CN"/>
        </w:rPr>
        <w:t>c</w:t>
      </w:r>
      <w:r>
        <w:rPr>
          <w:rFonts w:hint="eastAsia" w:ascii="Times New Roman" w:hAnsi="Times New Roman" w:eastAsia="宋体" w:cs="Times New Roman"/>
          <w:kern w:val="2"/>
          <w:sz w:val="20"/>
          <w:szCs w:val="20"/>
          <w:lang w:val="en-US" w:eastAsia="zh-CN" w:bidi="ar-SA"/>
        </w:rPr>
        <w:t xml:space="preserve"> </w:t>
      </w:r>
      <w:r>
        <w:rPr>
          <w:rFonts w:hint="eastAsia" w:cs="Times New Roman"/>
          <w:kern w:val="2"/>
          <w:sz w:val="20"/>
          <w:szCs w:val="20"/>
          <w:lang w:val="en-US" w:eastAsia="zh-CN" w:bidi="ar-SA"/>
        </w:rPr>
        <w:t>&gt;</w:t>
      </w:r>
      <w:r>
        <w:rPr>
          <w:rFonts w:hint="eastAsia" w:ascii="Times New Roman" w:hAnsi="Times New Roman" w:eastAsia="宋体" w:cs="Times New Roman"/>
          <w:kern w:val="2"/>
          <w:sz w:val="20"/>
          <w:szCs w:val="20"/>
          <w:lang w:val="en-US" w:eastAsia="zh-CN" w:bidi="ar-SA"/>
        </w:rPr>
        <w:t xml:space="preserve"> </w:t>
      </w:r>
      <w:r>
        <w:rPr>
          <w:rFonts w:hint="eastAsia" w:cs="Times New Roman"/>
          <w:kern w:val="2"/>
          <w:sz w:val="20"/>
          <w:szCs w:val="20"/>
          <w:lang w:val="en-US" w:eastAsia="zh-CN" w:bidi="ar-SA"/>
        </w:rPr>
        <w:t>1</w:t>
      </w:r>
      <w:r>
        <w:rPr>
          <w:rFonts w:hint="default" w:ascii="Times New Roman" w:hAnsi="Times New Roman" w:eastAsia="宋体" w:cs="Times New Roman"/>
          <w:kern w:val="2"/>
          <w:sz w:val="20"/>
          <w:szCs w:val="20"/>
          <w:lang w:val="en-US" w:eastAsia="zh-CN" w:bidi="ar-SA"/>
        </w:rPr>
        <w:t xml:space="preserve"> GHz</w:t>
      </w:r>
      <w:r>
        <w:rPr>
          <w:rFonts w:hint="eastAsia" w:cs="Times New Roman"/>
          <w:kern w:val="2"/>
          <w:sz w:val="20"/>
          <w:szCs w:val="20"/>
          <w:lang w:val="en-US" w:eastAsia="zh-CN" w:bidi="ar-SA"/>
        </w:rPr>
        <w:t>, there are 1/</w:t>
      </w:r>
      <w:r>
        <w:rPr>
          <w:rFonts w:hint="default" w:ascii="Times New Roman" w:hAnsi="Times New Roman" w:eastAsia="宋体" w:cs="Times New Roman"/>
          <w:kern w:val="2"/>
          <w:sz w:val="20"/>
          <w:szCs w:val="20"/>
          <w:lang w:val="en-US" w:eastAsia="zh-CN" w:bidi="ar-SA"/>
        </w:rPr>
        <w:t>2</w:t>
      </w:r>
      <w:r>
        <w:rPr>
          <w:rFonts w:hint="eastAsia" w:cs="Times New Roman"/>
          <w:kern w:val="2"/>
          <w:sz w:val="20"/>
          <w:szCs w:val="20"/>
          <w:lang w:val="en-US" w:eastAsia="zh-CN" w:bidi="ar-SA"/>
        </w:rPr>
        <w:t>*</w:t>
      </w:r>
      <w:r>
        <w:rPr>
          <w:rFonts w:hint="eastAsia" w:cs="Times New Roman"/>
          <w:sz w:val="20"/>
          <w:szCs w:val="20"/>
          <w:lang w:val="en-US" w:eastAsia="zh-CN"/>
        </w:rPr>
        <w:t>BW</w:t>
      </w:r>
      <w:r>
        <w:rPr>
          <w:rFonts w:hint="eastAsia" w:cs="Times New Roman"/>
          <w:sz w:val="20"/>
          <w:szCs w:val="20"/>
          <w:vertAlign w:val="subscript"/>
          <w:lang w:val="en-US" w:eastAsia="zh-CN"/>
        </w:rPr>
        <w:t>channel</w:t>
      </w:r>
      <w:r>
        <w:rPr>
          <w:rFonts w:hint="eastAsia" w:cs="Times New Roman"/>
          <w:kern w:val="2"/>
          <w:sz w:val="20"/>
          <w:szCs w:val="20"/>
          <w:lang w:val="en-US" w:eastAsia="zh-CN" w:bidi="ar-SA"/>
        </w:rPr>
        <w:t xml:space="preserve"> and even more can be relaxed.</w:t>
      </w:r>
    </w:p>
    <w:p>
      <w:pPr>
        <w:rPr>
          <w:rFonts w:hint="eastAsia"/>
          <w:b/>
          <w:bCs/>
          <w:i w:val="0"/>
          <w:iCs w:val="0"/>
          <w:sz w:val="20"/>
          <w:szCs w:val="20"/>
          <w:lang w:val="en-US" w:eastAsia="zh-CN"/>
        </w:rPr>
      </w:pPr>
      <w:r>
        <w:rPr>
          <w:rFonts w:hint="eastAsia"/>
          <w:b/>
          <w:bCs/>
          <w:i w:val="0"/>
          <w:iCs w:val="0"/>
          <w:sz w:val="20"/>
          <w:szCs w:val="20"/>
          <w:lang w:val="en-US" w:eastAsia="zh-CN"/>
        </w:rPr>
        <w:t>Observation 1: By comparing the difference of OOB boundary between 3GPP and ITU, it can be observed that OOB boundary defined in 3GPP is stricter than ITU.</w:t>
      </w: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default"/>
          <w:sz w:val="20"/>
          <w:szCs w:val="20"/>
          <w:lang w:val="en-US" w:eastAsia="zh-CN"/>
        </w:rPr>
      </w:pPr>
      <w:r>
        <w:rPr>
          <w:rFonts w:hint="eastAsia"/>
          <w:lang w:val="en-US" w:eastAsia="zh-CN"/>
        </w:rPr>
        <w:t xml:space="preserve">2.2 Mechanisms for enabling MPR reduction and/or power boosting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
              <w:numPr>
                <w:ilvl w:val="1"/>
                <w:numId w:val="0"/>
              </w:numPr>
              <w:overflowPunct w:val="0"/>
              <w:autoSpaceDE w:val="0"/>
              <w:autoSpaceDN w:val="0"/>
              <w:adjustRightInd w:val="0"/>
              <w:ind w:leftChars="0" w:right="0" w:rightChars="0"/>
              <w:textAlignment w:val="baseline"/>
              <w:rPr>
                <w:sz w:val="20"/>
                <w:szCs w:val="20"/>
              </w:rPr>
            </w:pPr>
            <w:r>
              <w:rPr>
                <w:sz w:val="20"/>
                <w:szCs w:val="20"/>
              </w:rPr>
              <w:t>1.2. Mechanisms for enabling MPR reduction and/or power boosting</w:t>
            </w:r>
          </w:p>
          <w:p>
            <w:pPr>
              <w:overflowPunct/>
              <w:autoSpaceDE/>
              <w:autoSpaceDN/>
              <w:adjustRightInd/>
              <w:spacing w:after="120"/>
              <w:textAlignment w:val="auto"/>
              <w:rPr>
                <w:rFonts w:eastAsia="宋体"/>
                <w:color w:val="0070C0"/>
                <w:sz w:val="20"/>
                <w:szCs w:val="20"/>
                <w:lang w:eastAsia="zh-CN"/>
              </w:rPr>
            </w:pPr>
            <w:r>
              <w:rPr>
                <w:b/>
                <w:sz w:val="20"/>
                <w:szCs w:val="20"/>
                <w:lang w:eastAsia="zh-CN"/>
              </w:rPr>
              <w:t>Way forward:</w:t>
            </w:r>
            <w:r>
              <w:rPr>
                <w:rFonts w:eastAsia="宋体"/>
                <w:color w:val="0070C0"/>
                <w:sz w:val="20"/>
                <w:szCs w:val="20"/>
                <w:lang w:eastAsia="zh-CN"/>
              </w:rPr>
              <w:t xml:space="preserve"> </w:t>
            </w:r>
          </w:p>
          <w:p>
            <w:pPr>
              <w:pStyle w:val="34"/>
              <w:numPr>
                <w:ilvl w:val="0"/>
                <w:numId w:val="10"/>
              </w:numPr>
              <w:overflowPunct/>
              <w:autoSpaceDE/>
              <w:autoSpaceDN/>
              <w:adjustRightInd/>
              <w:spacing w:after="120"/>
              <w:ind w:firstLineChars="0"/>
              <w:textAlignment w:val="auto"/>
              <w:rPr>
                <w:rFonts w:eastAsia="宋体"/>
                <w:sz w:val="20"/>
                <w:szCs w:val="20"/>
                <w:lang w:eastAsia="zh-CN"/>
              </w:rPr>
            </w:pPr>
            <w:r>
              <w:rPr>
                <w:rFonts w:eastAsia="宋体"/>
                <w:sz w:val="20"/>
                <w:szCs w:val="20"/>
                <w:lang w:eastAsia="zh-CN"/>
              </w:rPr>
              <w:t>Study the approach to convert full RB allocation in UE CBW to “inner RB allocation” with an extended UE BW, e.g. each side of the UE BW is equal to ½ of the UE BW, inside a larger BS CBW as starting point with consideration of the following aspects</w:t>
            </w:r>
          </w:p>
          <w:p>
            <w:pPr>
              <w:pStyle w:val="34"/>
              <w:numPr>
                <w:ilvl w:val="1"/>
                <w:numId w:val="10"/>
              </w:numPr>
              <w:overflowPunct/>
              <w:autoSpaceDE/>
              <w:autoSpaceDN/>
              <w:adjustRightInd/>
              <w:spacing w:after="120"/>
              <w:ind w:firstLineChars="0"/>
              <w:textAlignment w:val="auto"/>
              <w:rPr>
                <w:rFonts w:eastAsia="宋体"/>
                <w:sz w:val="20"/>
                <w:szCs w:val="20"/>
                <w:lang w:eastAsia="zh-CN"/>
              </w:rPr>
            </w:pPr>
            <w:r>
              <w:rPr>
                <w:rFonts w:eastAsia="宋体"/>
                <w:sz w:val="20"/>
                <w:szCs w:val="20"/>
                <w:lang w:eastAsia="zh-CN"/>
              </w:rPr>
              <w:t>The edge of the extended UE BW, i.e. the UE CBW plus the shifted frequency symmetrically at each side of the UE CBW, should be inside BS CBW or at least aligned with the BS CBW edge</w:t>
            </w:r>
          </w:p>
          <w:p>
            <w:pPr>
              <w:pStyle w:val="34"/>
              <w:numPr>
                <w:ilvl w:val="2"/>
                <w:numId w:val="10"/>
              </w:numPr>
              <w:overflowPunct/>
              <w:autoSpaceDE/>
              <w:autoSpaceDN/>
              <w:adjustRightInd/>
              <w:spacing w:after="120"/>
              <w:ind w:firstLineChars="0"/>
              <w:textAlignment w:val="auto"/>
              <w:rPr>
                <w:rFonts w:eastAsia="宋体"/>
                <w:sz w:val="20"/>
                <w:szCs w:val="20"/>
                <w:lang w:eastAsia="zh-CN"/>
              </w:rPr>
            </w:pPr>
            <w:r>
              <w:rPr>
                <w:rFonts w:hint="eastAsia" w:eastAsia="宋体"/>
                <w:sz w:val="20"/>
                <w:szCs w:val="20"/>
                <w:lang w:eastAsia="zh-CN"/>
              </w:rPr>
              <w:t>① F</w:t>
            </w:r>
            <w:r>
              <w:rPr>
                <w:rFonts w:eastAsia="宋体"/>
                <w:sz w:val="20"/>
                <w:szCs w:val="20"/>
                <w:lang w:eastAsia="zh-CN"/>
              </w:rPr>
              <w:t>FS feasibility of case where extended UE CBW edge exceeds the BS CBW edge</w:t>
            </w:r>
            <w:r>
              <w:rPr>
                <w:rFonts w:hint="eastAsia" w:eastAsia="宋体"/>
                <w:sz w:val="20"/>
                <w:szCs w:val="20"/>
                <w:lang w:eastAsia="zh-CN"/>
              </w:rPr>
              <w:t>,</w:t>
            </w:r>
            <w:r>
              <w:rPr>
                <w:rFonts w:eastAsia="宋体"/>
                <w:sz w:val="20"/>
                <w:szCs w:val="20"/>
                <w:lang w:eastAsia="zh-CN"/>
              </w:rPr>
              <w:t xml:space="preserve"> i.e. gap between edges of UE CBW and BS CBW &lt; 1/2 UE CBW</w:t>
            </w:r>
          </w:p>
          <w:p>
            <w:pPr>
              <w:pStyle w:val="34"/>
              <w:numPr>
                <w:ilvl w:val="2"/>
                <w:numId w:val="10"/>
              </w:numPr>
              <w:overflowPunct/>
              <w:autoSpaceDE/>
              <w:autoSpaceDN/>
              <w:adjustRightInd/>
              <w:spacing w:after="120"/>
              <w:ind w:firstLineChars="0"/>
              <w:textAlignment w:val="auto"/>
              <w:rPr>
                <w:rFonts w:eastAsia="宋体"/>
                <w:sz w:val="20"/>
                <w:szCs w:val="20"/>
                <w:lang w:eastAsia="zh-CN"/>
              </w:rPr>
            </w:pPr>
            <w:r>
              <w:rPr>
                <w:rFonts w:hint="eastAsia" w:eastAsia="宋体"/>
                <w:sz w:val="20"/>
                <w:szCs w:val="20"/>
                <w:lang w:eastAsia="zh-CN"/>
              </w:rPr>
              <w:t>② F</w:t>
            </w:r>
            <w:r>
              <w:rPr>
                <w:rFonts w:eastAsia="宋体"/>
                <w:sz w:val="20"/>
                <w:szCs w:val="20"/>
                <w:lang w:eastAsia="zh-CN"/>
              </w:rPr>
              <w:t>FS whether IBE is used between edges of UE CBW and BS CBW or between edges of UE CBW and extended UE CBW</w:t>
            </w:r>
          </w:p>
          <w:p>
            <w:pPr>
              <w:pStyle w:val="34"/>
              <w:numPr>
                <w:ilvl w:val="2"/>
                <w:numId w:val="10"/>
              </w:numPr>
              <w:overflowPunct/>
              <w:autoSpaceDE/>
              <w:autoSpaceDN/>
              <w:adjustRightInd/>
              <w:spacing w:after="120"/>
              <w:ind w:firstLineChars="0"/>
              <w:textAlignment w:val="auto"/>
              <w:rPr>
                <w:rFonts w:eastAsia="宋体"/>
                <w:sz w:val="20"/>
                <w:szCs w:val="20"/>
                <w:lang w:eastAsia="zh-CN"/>
              </w:rPr>
            </w:pPr>
            <w:r>
              <w:rPr>
                <w:rFonts w:hint="eastAsia" w:eastAsia="宋体"/>
                <w:sz w:val="20"/>
                <w:szCs w:val="20"/>
                <w:lang w:eastAsia="zh-CN"/>
              </w:rPr>
              <w:t>③ F</w:t>
            </w:r>
            <w:r>
              <w:rPr>
                <w:rFonts w:eastAsia="宋体"/>
                <w:sz w:val="20"/>
                <w:szCs w:val="20"/>
                <w:lang w:eastAsia="zh-CN"/>
              </w:rPr>
              <w:t>FS ACLR and SEM are applicable from the edge of extended UE CBW or edge of BS CBW, i.e. the start point of Δf</w:t>
            </w:r>
            <w:r>
              <w:rPr>
                <w:rFonts w:eastAsia="宋体"/>
                <w:sz w:val="20"/>
                <w:szCs w:val="20"/>
                <w:vertAlign w:val="subscript"/>
                <w:lang w:eastAsia="zh-CN"/>
              </w:rPr>
              <w:t>OOB</w:t>
            </w:r>
          </w:p>
          <w:p>
            <w:pPr>
              <w:pStyle w:val="34"/>
              <w:numPr>
                <w:ilvl w:val="2"/>
                <w:numId w:val="10"/>
              </w:numPr>
              <w:overflowPunct/>
              <w:autoSpaceDE/>
              <w:autoSpaceDN/>
              <w:adjustRightInd/>
              <w:spacing w:after="120"/>
              <w:ind w:firstLineChars="0"/>
              <w:textAlignment w:val="auto"/>
              <w:rPr>
                <w:rFonts w:eastAsia="宋体"/>
                <w:sz w:val="20"/>
                <w:szCs w:val="20"/>
                <w:lang w:eastAsia="zh-CN"/>
              </w:rPr>
            </w:pPr>
            <w:r>
              <w:rPr>
                <w:rFonts w:hint="eastAsia" w:eastAsia="宋体"/>
                <w:sz w:val="20"/>
                <w:szCs w:val="20"/>
                <w:lang w:eastAsia="zh-CN"/>
              </w:rPr>
              <w:t>④ F</w:t>
            </w:r>
            <w:r>
              <w:rPr>
                <w:rFonts w:eastAsia="宋体"/>
                <w:sz w:val="20"/>
                <w:szCs w:val="20"/>
                <w:lang w:eastAsia="zh-CN"/>
              </w:rPr>
              <w:t>FS integral region and boundary of OOBE is based on extended UE CBW or UE CBW</w:t>
            </w:r>
          </w:p>
          <w:p>
            <w:pPr>
              <w:overflowPunct w:val="0"/>
              <w:autoSpaceDE w:val="0"/>
              <w:autoSpaceDN w:val="0"/>
              <w:adjustRightInd w:val="0"/>
              <w:spacing w:after="120"/>
              <w:jc w:val="center"/>
              <w:textAlignment w:val="baseline"/>
              <w:rPr>
                <w:color w:val="0070C0"/>
                <w:sz w:val="20"/>
                <w:szCs w:val="20"/>
                <w:lang w:eastAsia="zh-CN"/>
              </w:rPr>
            </w:pPr>
            <w:r>
              <w:rPr>
                <w:color w:val="0070C0"/>
                <w:sz w:val="20"/>
                <w:szCs w:val="20"/>
                <w:lang w:val="en-US" w:eastAsia="zh-CN"/>
              </w:rPr>
              <w:drawing>
                <wp:inline distT="0" distB="0" distL="0" distR="0">
                  <wp:extent cx="4603115" cy="2590165"/>
                  <wp:effectExtent l="0" t="0" r="698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603749" cy="2590702"/>
                          </a:xfrm>
                          <a:prstGeom prst="rect">
                            <a:avLst/>
                          </a:prstGeom>
                          <a:noFill/>
                        </pic:spPr>
                      </pic:pic>
                    </a:graphicData>
                  </a:graphic>
                </wp:inline>
              </w:drawing>
            </w:r>
          </w:p>
          <w:p>
            <w:pPr>
              <w:pStyle w:val="34"/>
              <w:numPr>
                <w:ilvl w:val="0"/>
                <w:numId w:val="10"/>
              </w:numPr>
              <w:overflowPunct/>
              <w:autoSpaceDE/>
              <w:autoSpaceDN/>
              <w:adjustRightInd/>
              <w:spacing w:after="120"/>
              <w:ind w:firstLineChars="0"/>
              <w:textAlignment w:val="auto"/>
              <w:rPr>
                <w:rFonts w:eastAsia="宋体"/>
                <w:sz w:val="20"/>
                <w:szCs w:val="20"/>
                <w:lang w:eastAsia="zh-CN"/>
              </w:rPr>
            </w:pPr>
            <w:r>
              <w:rPr>
                <w:rFonts w:eastAsia="宋体"/>
                <w:sz w:val="20"/>
                <w:szCs w:val="20"/>
                <w:lang w:eastAsia="zh-CN"/>
              </w:rPr>
              <w:t>Other mechanisms are not precluded</w:t>
            </w:r>
          </w:p>
          <w:p>
            <w:pPr>
              <w:pStyle w:val="34"/>
              <w:numPr>
                <w:ilvl w:val="0"/>
                <w:numId w:val="0"/>
              </w:numPr>
              <w:overflowPunct w:val="0"/>
              <w:autoSpaceDE w:val="0"/>
              <w:autoSpaceDN w:val="0"/>
              <w:adjustRightInd w:val="0"/>
              <w:spacing w:after="180"/>
              <w:ind w:left="620" w:leftChars="0"/>
              <w:textAlignment w:val="baseline"/>
              <w:rPr>
                <w:rFonts w:hint="default"/>
                <w:b/>
                <w:bCs/>
                <w:i/>
                <w:iCs/>
                <w:sz w:val="20"/>
                <w:szCs w:val="20"/>
                <w:vertAlign w:val="baseline"/>
                <w:lang w:val="en-US" w:eastAsia="zh-CN"/>
              </w:rPr>
            </w:pPr>
          </w:p>
        </w:tc>
      </w:tr>
    </w:tbl>
    <w:p>
      <w:pPr>
        <w:rPr>
          <w:rFonts w:hint="eastAsia"/>
          <w:sz w:val="20"/>
          <w:szCs w:val="20"/>
          <w:lang w:val="en-US" w:eastAsia="zh-CN"/>
        </w:rPr>
      </w:pPr>
      <w:r>
        <w:rPr>
          <w:rFonts w:hint="eastAsia"/>
          <w:sz w:val="20"/>
          <w:szCs w:val="20"/>
          <w:lang w:val="en-US" w:eastAsia="zh-CN"/>
        </w:rPr>
        <w:t>For the first FFS, it can be divided into two cases. One is that there is no adjacent in-band/out-of-band co-existence issue, in which case, it is feasible that extended UE CBW edge exceeds the BS CBW edge. The other is that there exists adjacent in-band/out-of-band co-existence issue, and extended UE CBW edge cannot exceed the BS CBW edge.</w:t>
      </w:r>
    </w:p>
    <w:p>
      <w:pPr>
        <w:rPr>
          <w:rFonts w:hint="eastAsia"/>
          <w:b/>
          <w:bCs/>
          <w:i w:val="0"/>
          <w:iCs w:val="0"/>
          <w:sz w:val="20"/>
          <w:szCs w:val="20"/>
          <w:lang w:val="en-US" w:eastAsia="zh-CN"/>
        </w:rPr>
      </w:pPr>
      <w:r>
        <w:rPr>
          <w:rFonts w:hint="eastAsia"/>
          <w:b/>
          <w:bCs/>
          <w:i w:val="0"/>
          <w:iCs w:val="0"/>
          <w:sz w:val="20"/>
          <w:szCs w:val="20"/>
          <w:lang w:val="en-US" w:eastAsia="zh-CN"/>
        </w:rPr>
        <w:t>Proposal 1: For the first FFS, it can be divided into two cases. One is that there is no adjacent in-band/out-of-band co-existence issue, in which case, it is feasible that extended UE CBW edge exceeds the BS CBW edge. The other is that there exists adjacent in-band/out-of-band co-existence issue, and extended UE CBW edge cannot exceed the BS CBW edge.</w:t>
      </w:r>
    </w:p>
    <w:p>
      <w:pPr>
        <w:rPr>
          <w:rFonts w:hint="eastAsia"/>
          <w:sz w:val="20"/>
          <w:szCs w:val="20"/>
          <w:lang w:val="en-US" w:eastAsia="zh-CN"/>
        </w:rPr>
      </w:pPr>
      <w:r>
        <w:rPr>
          <w:rFonts w:hint="eastAsia"/>
          <w:sz w:val="20"/>
          <w:szCs w:val="20"/>
          <w:lang w:val="en-US" w:eastAsia="zh-CN"/>
        </w:rPr>
        <w:t xml:space="preserve">For the second FFS, the key of the mechanism lies in converting outer RB allocation into </w:t>
      </w:r>
      <w:r>
        <w:rPr>
          <w:rFonts w:hint="default"/>
          <w:sz w:val="20"/>
          <w:szCs w:val="20"/>
          <w:lang w:val="en-US" w:eastAsia="zh-CN"/>
        </w:rPr>
        <w:t>‘</w:t>
      </w:r>
      <w:r>
        <w:rPr>
          <w:rFonts w:hint="eastAsia"/>
          <w:sz w:val="20"/>
          <w:szCs w:val="20"/>
          <w:lang w:val="en-US" w:eastAsia="zh-CN"/>
        </w:rPr>
        <w:t>inner RB allocation</w:t>
      </w:r>
      <w:r>
        <w:rPr>
          <w:rFonts w:hint="default"/>
          <w:sz w:val="20"/>
          <w:szCs w:val="20"/>
          <w:lang w:val="en-US" w:eastAsia="zh-CN"/>
        </w:rPr>
        <w:t>’</w:t>
      </w:r>
      <w:r>
        <w:rPr>
          <w:rFonts w:hint="eastAsia"/>
          <w:sz w:val="20"/>
          <w:szCs w:val="20"/>
          <w:lang w:val="en-US" w:eastAsia="zh-CN"/>
        </w:rPr>
        <w:t xml:space="preserve"> and utilizing MPR for inner RB allocation instead of outer RB allocation. The region between the edge of UE CBW and the edge of extended UE CBW can be regarded as in-band of extended UE CBW, where IBE could be used.</w:t>
      </w:r>
    </w:p>
    <w:p>
      <w:pPr>
        <w:rPr>
          <w:rFonts w:hint="eastAsia"/>
          <w:sz w:val="20"/>
          <w:szCs w:val="20"/>
          <w:lang w:val="en-US" w:eastAsia="zh-CN"/>
        </w:rPr>
      </w:pPr>
      <w:r>
        <w:rPr>
          <w:rFonts w:hint="eastAsia"/>
          <w:b/>
          <w:bCs/>
          <w:i w:val="0"/>
          <w:iCs w:val="0"/>
          <w:sz w:val="20"/>
          <w:szCs w:val="20"/>
          <w:lang w:val="en-US" w:eastAsia="zh-CN"/>
        </w:rPr>
        <w:t>Proposal 2: The region between the edge of UE CBW and the edge of extended UE CBW can be regarded as in-band of extended UE CBW, where IBE could be used.</w:t>
      </w:r>
    </w:p>
    <w:p>
      <w:pPr>
        <w:pStyle w:val="50"/>
        <w:jc w:val="both"/>
        <w:rPr>
          <w:rFonts w:hint="eastAsia"/>
          <w:sz w:val="20"/>
          <w:szCs w:val="20"/>
          <w:lang w:val="en-US" w:eastAsia="zh-CN"/>
        </w:rPr>
      </w:pPr>
      <w:r>
        <w:rPr>
          <w:rFonts w:hint="eastAsia"/>
          <w:sz w:val="20"/>
          <w:szCs w:val="20"/>
          <w:lang w:val="en-US" w:eastAsia="zh-CN"/>
        </w:rPr>
        <w:t xml:space="preserve">For the third FFS, considering one of the conditions of inner RB allocations is </w:t>
      </w:r>
      <w:r>
        <w:rPr>
          <w:sz w:val="20"/>
          <w:szCs w:val="20"/>
        </w:rPr>
        <w:t>L</w:t>
      </w:r>
      <w:r>
        <w:rPr>
          <w:sz w:val="20"/>
          <w:szCs w:val="20"/>
          <w:vertAlign w:val="subscript"/>
        </w:rPr>
        <w:t xml:space="preserve">CRB </w:t>
      </w:r>
      <w:r>
        <w:rPr>
          <w:sz w:val="20"/>
          <w:szCs w:val="20"/>
        </w:rPr>
        <w:t>≤</w:t>
      </w:r>
      <w:r>
        <w:rPr>
          <w:rFonts w:hint="eastAsia"/>
          <w:sz w:val="20"/>
          <w:szCs w:val="20"/>
          <w:lang w:val="en-US" w:eastAsia="zh-CN"/>
        </w:rPr>
        <w:t xml:space="preserve"> </w:t>
      </w:r>
      <w:r>
        <w:rPr>
          <w:sz w:val="20"/>
          <w:szCs w:val="20"/>
        </w:rPr>
        <w:t>ceil(N</w:t>
      </w:r>
      <w:r>
        <w:rPr>
          <w:sz w:val="20"/>
          <w:szCs w:val="20"/>
          <w:vertAlign w:val="subscript"/>
        </w:rPr>
        <w:t>RB</w:t>
      </w:r>
      <w:r>
        <w:rPr>
          <w:sz w:val="20"/>
          <w:szCs w:val="20"/>
        </w:rPr>
        <w:t>/2)</w:t>
      </w:r>
      <w:r>
        <w:rPr>
          <w:rFonts w:hint="eastAsia"/>
          <w:sz w:val="20"/>
          <w:szCs w:val="20"/>
          <w:lang w:val="en-US" w:eastAsia="zh-CN"/>
        </w:rPr>
        <w:t>, each side of UE BW increases 1/2 UE CBW may be enough to obtain MPR of inner RB allocations. ACLR and SEM is applied from the edge of UE CBW, so ACLR and SEM should be applicable from the edge of extended UE CBW instead of edge of BS CBW. In another perspective, for SE requirement, for BW</w:t>
      </w:r>
      <w:r>
        <w:rPr>
          <w:rFonts w:hint="eastAsia"/>
          <w:sz w:val="20"/>
          <w:szCs w:val="20"/>
          <w:vertAlign w:val="subscript"/>
          <w:lang w:val="en-US" w:eastAsia="zh-CN"/>
        </w:rPr>
        <w:t>channel</w:t>
      </w:r>
      <w:r>
        <w:rPr>
          <w:rFonts w:hint="eastAsia"/>
          <w:sz w:val="20"/>
          <w:szCs w:val="20"/>
          <w:lang w:val="en-US" w:eastAsia="zh-CN"/>
        </w:rPr>
        <w:t xml:space="preserve">≥10MHz with </w:t>
      </w:r>
      <w:r>
        <w:rPr>
          <w:rFonts w:hint="eastAsia"/>
          <w:i/>
          <w:iCs/>
          <w:sz w:val="20"/>
          <w:szCs w:val="20"/>
          <w:lang w:val="en-US" w:eastAsia="zh-CN"/>
        </w:rPr>
        <w:t>fc</w:t>
      </w:r>
      <w:r>
        <w:rPr>
          <w:rFonts w:hint="eastAsia"/>
          <w:sz w:val="20"/>
          <w:szCs w:val="20"/>
          <w:lang w:val="en-US" w:eastAsia="zh-CN"/>
        </w:rPr>
        <w:t xml:space="preserve"> &gt; 1 GHz, there are 1/2*BW</w:t>
      </w:r>
      <w:r>
        <w:rPr>
          <w:rFonts w:hint="eastAsia"/>
          <w:sz w:val="20"/>
          <w:szCs w:val="20"/>
          <w:vertAlign w:val="subscript"/>
          <w:lang w:val="en-US" w:eastAsia="zh-CN"/>
        </w:rPr>
        <w:t>channel</w:t>
      </w:r>
      <w:r>
        <w:rPr>
          <w:rFonts w:hint="eastAsia"/>
          <w:sz w:val="20"/>
          <w:szCs w:val="20"/>
          <w:lang w:val="en-US" w:eastAsia="zh-CN"/>
        </w:rPr>
        <w:t xml:space="preserve"> and even more can be relaxed, and the worst case is only 1/2*BW</w:t>
      </w:r>
      <w:r>
        <w:rPr>
          <w:rFonts w:hint="eastAsia"/>
          <w:sz w:val="20"/>
          <w:szCs w:val="20"/>
          <w:vertAlign w:val="subscript"/>
          <w:lang w:val="en-US" w:eastAsia="zh-CN"/>
        </w:rPr>
        <w:t>channel</w:t>
      </w:r>
      <w:r>
        <w:rPr>
          <w:rFonts w:hint="eastAsia"/>
          <w:sz w:val="20"/>
          <w:szCs w:val="20"/>
          <w:lang w:val="en-US" w:eastAsia="zh-CN"/>
        </w:rPr>
        <w:t xml:space="preserve"> can be relaxed. If more than 1/2*BW</w:t>
      </w:r>
      <w:r>
        <w:rPr>
          <w:rFonts w:hint="eastAsia"/>
          <w:sz w:val="20"/>
          <w:szCs w:val="20"/>
          <w:vertAlign w:val="subscript"/>
          <w:lang w:val="en-US" w:eastAsia="zh-CN"/>
        </w:rPr>
        <w:t>channel</w:t>
      </w:r>
      <w:r>
        <w:rPr>
          <w:rFonts w:hint="eastAsia"/>
          <w:sz w:val="20"/>
          <w:szCs w:val="20"/>
          <w:lang w:val="en-US" w:eastAsia="zh-CN"/>
        </w:rPr>
        <w:t>, it may not meet SE requirement, which will cause interference.</w:t>
      </w:r>
    </w:p>
    <w:p>
      <w:pPr>
        <w:rPr>
          <w:rFonts w:hint="default"/>
          <w:lang w:val="en-US" w:eastAsia="zh-CN"/>
        </w:rPr>
      </w:pPr>
      <w:r>
        <w:rPr>
          <w:rFonts w:hint="eastAsia"/>
          <w:b/>
          <w:bCs/>
          <w:i w:val="0"/>
          <w:iCs w:val="0"/>
          <w:sz w:val="20"/>
          <w:szCs w:val="20"/>
          <w:lang w:val="en-US" w:eastAsia="zh-CN"/>
        </w:rPr>
        <w:t>Proposal 3: ACLR and SEM should be applicable from the edge of extended UE CBW instead of edge of BS CBW.</w:t>
      </w:r>
    </w:p>
    <w:p>
      <w:pPr>
        <w:rPr>
          <w:rFonts w:hint="eastAsia"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For the fourth FFS,</w:t>
      </w:r>
      <w:r>
        <w:rPr>
          <w:rFonts w:hint="eastAsia" w:cs="Times New Roman"/>
          <w:kern w:val="2"/>
          <w:sz w:val="20"/>
          <w:szCs w:val="20"/>
          <w:lang w:val="en-US" w:eastAsia="zh-CN" w:bidi="ar-SA"/>
        </w:rPr>
        <w:t xml:space="preserve"> if we use the SEM and spurious emission requirement based on extended UE CBW instead of UE CBW, it means the level of SEM and spurious emission requirement is relaxed. However, relaxing the level of spurious emission is not feasible. </w:t>
      </w:r>
    </w:p>
    <w:p>
      <w:pPr>
        <w:rPr>
          <w:rFonts w:hint="eastAsia" w:cs="Times New Roman"/>
          <w:kern w:val="2"/>
          <w:sz w:val="20"/>
          <w:szCs w:val="20"/>
          <w:lang w:val="en-US" w:eastAsia="zh-CN" w:bidi="ar-SA"/>
        </w:rPr>
      </w:pPr>
      <w:r>
        <w:rPr>
          <w:rFonts w:hint="eastAsia" w:cs="Times New Roman"/>
          <w:kern w:val="2"/>
          <w:sz w:val="20"/>
          <w:szCs w:val="20"/>
          <w:lang w:val="en-US" w:eastAsia="zh-CN" w:bidi="ar-SA"/>
        </w:rPr>
        <w:t>In addition, a</w:t>
      </w:r>
      <w:r>
        <w:rPr>
          <w:rFonts w:hint="eastAsia" w:ascii="Times New Roman" w:hAnsi="Times New Roman" w:eastAsia="宋体" w:cs="Times New Roman"/>
          <w:kern w:val="2"/>
          <w:sz w:val="20"/>
          <w:szCs w:val="20"/>
          <w:lang w:val="en-US" w:eastAsia="zh-CN" w:bidi="ar-SA"/>
        </w:rPr>
        <w:t>ccording to the principle stated in ITU-SM.329, the spurious domain generally consists of frequencies separated from the centre frequency of the emission by 250% or more of the necessary bandwidth of the emission</w:t>
      </w:r>
      <w:r>
        <w:rPr>
          <w:rFonts w:hint="eastAsia" w:cs="Times New Roman"/>
          <w:kern w:val="2"/>
          <w:sz w:val="20"/>
          <w:szCs w:val="20"/>
          <w:lang w:val="en-US" w:eastAsia="zh-CN" w:bidi="ar-SA"/>
        </w:rPr>
        <w:t>. If integral region and boundary of OOBE is based on extended UE CBW, which means OOB boundary will be extended to 3/2 UE CBW larger than 1/2 UE CBW, it will be looser than the requirement defined in ITU. So integral region and boundary of OOBE should be based on UE CBW.</w:t>
      </w:r>
    </w:p>
    <w:p>
      <w:pPr>
        <w:rPr>
          <w:rFonts w:hint="default" w:cs="Times New Roman"/>
          <w:kern w:val="2"/>
          <w:sz w:val="20"/>
          <w:szCs w:val="20"/>
          <w:lang w:val="en-US" w:eastAsia="zh-CN" w:bidi="ar-SA"/>
        </w:rPr>
      </w:pPr>
      <w:r>
        <w:rPr>
          <w:rFonts w:hint="eastAsia"/>
          <w:b/>
          <w:bCs/>
          <w:i w:val="0"/>
          <w:iCs w:val="0"/>
          <w:sz w:val="20"/>
          <w:szCs w:val="20"/>
          <w:lang w:val="en-US" w:eastAsia="zh-CN"/>
        </w:rPr>
        <w:t>Proposal 4: Integral region and boundary of OOBE should be based on UE CBW.</w:t>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on </w:t>
      </w:r>
      <w:r>
        <w:rPr>
          <w:rFonts w:hint="eastAsia" w:cs="Times New Roman"/>
          <w:b w:val="0"/>
          <w:bCs w:val="0"/>
          <w:kern w:val="0"/>
          <w:sz w:val="20"/>
          <w:szCs w:val="20"/>
          <w:highlight w:val="none"/>
          <w:lang w:val="en-US" w:eastAsia="zh-CN" w:bidi="ar-SA"/>
        </w:rPr>
        <w:t xml:space="preserve">power boosting and/or MPR reduction </w:t>
      </w:r>
      <w:r>
        <w:rPr>
          <w:rFonts w:hint="eastAsia" w:ascii="Times New Roman" w:hAnsi="Times New Roman" w:eastAsia="宋体" w:cs="Times New Roman"/>
          <w:b w:val="0"/>
          <w:bCs w:val="0"/>
          <w:kern w:val="0"/>
          <w:sz w:val="20"/>
          <w:szCs w:val="20"/>
          <w:highlight w:val="none"/>
          <w:lang w:val="en-US" w:eastAsia="zh-CN" w:bidi="ar-SA"/>
        </w:rPr>
        <w:t>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s are</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rPr>
          <w:rFonts w:hint="eastAsia"/>
          <w:b/>
          <w:bCs/>
          <w:i w:val="0"/>
          <w:iCs w:val="0"/>
          <w:sz w:val="20"/>
          <w:szCs w:val="20"/>
          <w:lang w:val="en-US" w:eastAsia="zh-CN"/>
        </w:rPr>
      </w:pPr>
      <w:r>
        <w:rPr>
          <w:rFonts w:hint="eastAsia"/>
          <w:b/>
          <w:bCs/>
          <w:i w:val="0"/>
          <w:iCs w:val="0"/>
          <w:sz w:val="20"/>
          <w:szCs w:val="20"/>
          <w:lang w:val="en-US" w:eastAsia="zh-CN"/>
        </w:rPr>
        <w:t>Observation 1: By comparing the difference of OOB boundary between 3GPP and ITU, it can be observed that OOB boundary defined in 3GPP is stricter than ITU.</w:t>
      </w:r>
    </w:p>
    <w:p>
      <w:pPr>
        <w:rPr>
          <w:rFonts w:hint="eastAsia"/>
          <w:b/>
          <w:bCs/>
          <w:i w:val="0"/>
          <w:iCs w:val="0"/>
          <w:sz w:val="20"/>
          <w:szCs w:val="20"/>
          <w:lang w:val="en-US" w:eastAsia="zh-CN"/>
        </w:rPr>
      </w:pPr>
      <w:bookmarkStart w:id="5" w:name="_GoBack"/>
      <w:bookmarkEnd w:id="5"/>
      <w:r>
        <w:rPr>
          <w:rFonts w:hint="eastAsia"/>
          <w:b/>
          <w:bCs/>
          <w:i w:val="0"/>
          <w:iCs w:val="0"/>
          <w:sz w:val="20"/>
          <w:szCs w:val="20"/>
          <w:lang w:val="en-US" w:eastAsia="zh-CN"/>
        </w:rPr>
        <w:t>Proposal 1: For the first FFS, it can be divided into two cases. One is that there is no adjacent in-band/out-of-band co-existence issue, in which case, it is feasible that extended UE CBW edge exceeds the BS CBW edge. The other is that there exists adjacent in-band/out-of-band co-existence issue, and extended UE CBW edge cannot exceed the BS CBW edge.</w:t>
      </w:r>
    </w:p>
    <w:p>
      <w:pPr>
        <w:rPr>
          <w:rFonts w:hint="eastAsia"/>
          <w:sz w:val="20"/>
          <w:szCs w:val="20"/>
          <w:lang w:val="en-US" w:eastAsia="zh-CN"/>
        </w:rPr>
      </w:pPr>
      <w:r>
        <w:rPr>
          <w:rFonts w:hint="eastAsia"/>
          <w:b/>
          <w:bCs/>
          <w:i w:val="0"/>
          <w:iCs w:val="0"/>
          <w:sz w:val="20"/>
          <w:szCs w:val="20"/>
          <w:lang w:val="en-US" w:eastAsia="zh-CN"/>
        </w:rPr>
        <w:t>Proposal 2: The region between the edge of UE CBW and the edge of extended UE CBW can be regarded as in-band of extended UE CBW, where IBE could be used.</w:t>
      </w:r>
    </w:p>
    <w:p>
      <w:pPr>
        <w:rPr>
          <w:rFonts w:hint="default"/>
          <w:lang w:val="en-US" w:eastAsia="zh-CN"/>
        </w:rPr>
      </w:pPr>
      <w:r>
        <w:rPr>
          <w:rFonts w:hint="eastAsia"/>
          <w:b/>
          <w:bCs/>
          <w:i w:val="0"/>
          <w:iCs w:val="0"/>
          <w:sz w:val="20"/>
          <w:szCs w:val="20"/>
          <w:lang w:val="en-US" w:eastAsia="zh-CN"/>
        </w:rPr>
        <w:t>Proposal 3: ACLR and SEM should be applicable from the edge of extended UE CBW instead of edge of BS CBW.</w:t>
      </w:r>
    </w:p>
    <w:p>
      <w:pPr>
        <w:rPr>
          <w:rFonts w:hint="default" w:cs="Times New Roman"/>
          <w:kern w:val="2"/>
          <w:sz w:val="20"/>
          <w:szCs w:val="20"/>
          <w:lang w:val="en-US" w:eastAsia="zh-CN" w:bidi="ar-SA"/>
        </w:rPr>
      </w:pPr>
      <w:r>
        <w:rPr>
          <w:rFonts w:hint="eastAsia"/>
          <w:b/>
          <w:bCs/>
          <w:i w:val="0"/>
          <w:iCs w:val="0"/>
          <w:sz w:val="20"/>
          <w:szCs w:val="20"/>
          <w:lang w:val="en-US" w:eastAsia="zh-CN"/>
        </w:rPr>
        <w:t>Proposal 4: Integral region and boundary of OOBE should be based on UE CBW.</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11"/>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sz w:val="20"/>
          <w:szCs w:val="20"/>
          <w:lang w:val="en-US" w:eastAsia="zh-CN"/>
        </w:rPr>
      </w:pPr>
      <w:r>
        <w:rPr>
          <w:rFonts w:hint="eastAsia"/>
          <w:sz w:val="20"/>
          <w:szCs w:val="20"/>
          <w:lang w:val="en-US" w:eastAsia="zh-CN"/>
        </w:rPr>
        <w:t>RP-230828, New WID: UE RF enhancements for NR FR1/FR2 and EN-DC, Phase 4, Huawei</w:t>
      </w:r>
    </w:p>
    <w:p>
      <w:pPr>
        <w:keepNext/>
        <w:keepLines/>
        <w:pageBreakBefore w:val="0"/>
        <w:widowControl/>
        <w:numPr>
          <w:ilvl w:val="0"/>
          <w:numId w:val="11"/>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sz w:val="20"/>
          <w:szCs w:val="20"/>
          <w:lang w:val="en-US" w:eastAsia="zh-CN"/>
        </w:rPr>
      </w:pPr>
      <w:r>
        <w:rPr>
          <w:rFonts w:hint="default"/>
          <w:color w:val="auto"/>
          <w:sz w:val="20"/>
          <w:szCs w:val="20"/>
          <w:lang w:val="en-US" w:eastAsia="zh-CN"/>
        </w:rPr>
        <w:t>R</w:t>
      </w:r>
      <w:r>
        <w:rPr>
          <w:rFonts w:hint="eastAsia"/>
          <w:color w:val="auto"/>
          <w:sz w:val="20"/>
          <w:szCs w:val="20"/>
          <w:lang w:val="en-US" w:eastAsia="zh-CN"/>
        </w:rPr>
        <w:t>P</w:t>
      </w:r>
      <w:r>
        <w:rPr>
          <w:rFonts w:hint="default"/>
          <w:color w:val="auto"/>
          <w:sz w:val="20"/>
          <w:szCs w:val="20"/>
          <w:lang w:val="en-US" w:eastAsia="zh-CN"/>
        </w:rPr>
        <w:t>-2</w:t>
      </w:r>
      <w:r>
        <w:rPr>
          <w:rFonts w:hint="eastAsia"/>
          <w:color w:val="auto"/>
          <w:sz w:val="20"/>
          <w:szCs w:val="20"/>
          <w:lang w:val="en-US" w:eastAsia="zh-CN"/>
        </w:rPr>
        <w:t xml:space="preserve">40453, </w:t>
      </w:r>
      <w:r>
        <w:rPr>
          <w:rFonts w:hint="default"/>
          <w:color w:val="auto"/>
          <w:sz w:val="20"/>
          <w:szCs w:val="20"/>
          <w:lang w:val="en-US" w:eastAsia="zh-CN"/>
        </w:rPr>
        <w:t>MediaTek Views on RAN4 Rel-19: RF</w:t>
      </w:r>
      <w:r>
        <w:rPr>
          <w:rFonts w:hint="eastAsia" w:cs="Times New Roman"/>
          <w:b w:val="0"/>
          <w:bCs w:val="0"/>
          <w:color w:val="auto"/>
          <w:sz w:val="20"/>
          <w:szCs w:val="20"/>
          <w:highlight w:val="none"/>
          <w:lang w:val="en-US" w:eastAsia="zh-CN"/>
        </w:rPr>
        <w:t>, MediaTek</w:t>
      </w:r>
    </w:p>
    <w:p>
      <w:pPr>
        <w:keepNext/>
        <w:keepLines/>
        <w:pageBreakBefore w:val="0"/>
        <w:widowControl/>
        <w:numPr>
          <w:ilvl w:val="0"/>
          <w:numId w:val="11"/>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r>
        <w:rPr>
          <w:rFonts w:hint="eastAsia" w:cs="Times New Roman"/>
          <w:b w:val="0"/>
          <w:bCs w:val="0"/>
          <w:color w:val="auto"/>
          <w:sz w:val="20"/>
          <w:szCs w:val="20"/>
          <w:highlight w:val="none"/>
          <w:lang w:val="en-US" w:eastAsia="zh-CN"/>
        </w:rPr>
        <w:t>R4-2217745, WF on enhancements to reduce MPR/PAR, Nokia, Nokia Shanghai Bell</w:t>
      </w:r>
    </w:p>
    <w:p>
      <w:pPr>
        <w:keepNext/>
        <w:keepLines/>
        <w:pageBreakBefore w:val="0"/>
        <w:widowControl/>
        <w:numPr>
          <w:ilvl w:val="-1"/>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both"/>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imesNewRomanPS-ItalicMT">
    <w:altName w:val="Segoe Print"/>
    <w:panose1 w:val="00000000000000000000"/>
    <w:charset w:val="00"/>
    <w:family w:val="auto"/>
    <w:pitch w:val="default"/>
    <w:sig w:usb0="00000000" w:usb1="00000000" w:usb2="00000000" w:usb3="00000000" w:csb0="00000000" w:csb1="00000000"/>
  </w:font>
  <w:font w:name="New York">
    <w:altName w:val="Tahoma"/>
    <w:panose1 w:val="02040503060506020304"/>
    <w:charset w:val="00"/>
    <w:family w:val="roman"/>
    <w:pitch w:val="default"/>
    <w:sig w:usb0="00000000" w:usb1="00000000" w:usb2="00000000" w:usb3="00000000" w:csb0="00000001"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6">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2"/>
      <w:numFmt w:val="bullet"/>
      <w:lvlText w:val="-"/>
      <w:lvlJc w:val="left"/>
      <w:pPr>
        <w:ind w:left="1080" w:hanging="360"/>
      </w:pPr>
      <w:rPr>
        <w:rFonts w:hint="eastAsia" w:ascii="New York" w:hAnsi="New York" w:eastAsia="New York" w:cs="宋体"/>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5B6568FB"/>
    <w:multiLevelType w:val="multilevel"/>
    <w:tmpl w:val="5B6568FB"/>
    <w:lvl w:ilvl="0" w:tentative="0">
      <w:start w:val="2"/>
      <w:numFmt w:val="bullet"/>
      <w:lvlText w:val="-"/>
      <w:lvlJc w:val="left"/>
      <w:pPr>
        <w:ind w:left="560" w:hanging="360"/>
      </w:pPr>
      <w:rPr>
        <w:rFonts w:hint="default" w:ascii="Times New Roman" w:hAnsi="Times New Roman" w:eastAsia="宋体" w:cs="Times New Roman"/>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8">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9">
    <w:nsid w:val="5F723A5E"/>
    <w:multiLevelType w:val="singleLevel"/>
    <w:tmpl w:val="5F723A5E"/>
    <w:lvl w:ilvl="0" w:tentative="0">
      <w:start w:val="1"/>
      <w:numFmt w:val="decimal"/>
      <w:suff w:val="space"/>
      <w:lvlText w:val="[%1]"/>
      <w:lvlJc w:val="left"/>
    </w:lvl>
  </w:abstractNum>
  <w:abstractNum w:abstractNumId="10">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3"/>
  </w:num>
  <w:num w:numId="2">
    <w:abstractNumId w:val="10"/>
  </w:num>
  <w:num w:numId="3">
    <w:abstractNumId w:val="8"/>
  </w:num>
  <w:num w:numId="4">
    <w:abstractNumId w:val="4"/>
  </w:num>
  <w:num w:numId="5">
    <w:abstractNumId w:val="5"/>
  </w:num>
  <w:num w:numId="6">
    <w:abstractNumId w:val="1"/>
  </w:num>
  <w:num w:numId="7">
    <w:abstractNumId w:val="0"/>
  </w:num>
  <w:num w:numId="8">
    <w:abstractNumId w:val="2"/>
  </w:num>
  <w:num w:numId="9">
    <w:abstractNumId w:val="7"/>
  </w:num>
  <w:num w:numId="10">
    <w:abstractNumId w:val="6"/>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4A0623"/>
    <w:rsid w:val="01536583"/>
    <w:rsid w:val="0156475D"/>
    <w:rsid w:val="015D3EF3"/>
    <w:rsid w:val="016112D3"/>
    <w:rsid w:val="0165788D"/>
    <w:rsid w:val="01764F01"/>
    <w:rsid w:val="018107C9"/>
    <w:rsid w:val="01854FE9"/>
    <w:rsid w:val="018E207B"/>
    <w:rsid w:val="0190283E"/>
    <w:rsid w:val="019C544F"/>
    <w:rsid w:val="019D155B"/>
    <w:rsid w:val="01A428BB"/>
    <w:rsid w:val="01AE307F"/>
    <w:rsid w:val="01B35169"/>
    <w:rsid w:val="01C00B7B"/>
    <w:rsid w:val="01CA1BB3"/>
    <w:rsid w:val="01D00B7E"/>
    <w:rsid w:val="01D46B8D"/>
    <w:rsid w:val="01D67ABF"/>
    <w:rsid w:val="01D866D8"/>
    <w:rsid w:val="01E54210"/>
    <w:rsid w:val="01EE2663"/>
    <w:rsid w:val="01F90434"/>
    <w:rsid w:val="01FB366B"/>
    <w:rsid w:val="01FD3930"/>
    <w:rsid w:val="02024A92"/>
    <w:rsid w:val="02042B52"/>
    <w:rsid w:val="021B7C87"/>
    <w:rsid w:val="022D4A6E"/>
    <w:rsid w:val="023512AC"/>
    <w:rsid w:val="023B0A39"/>
    <w:rsid w:val="023C78A7"/>
    <w:rsid w:val="023F3FD3"/>
    <w:rsid w:val="02444B7E"/>
    <w:rsid w:val="024A5964"/>
    <w:rsid w:val="024B023C"/>
    <w:rsid w:val="024D6B6A"/>
    <w:rsid w:val="024E43D4"/>
    <w:rsid w:val="02510B5E"/>
    <w:rsid w:val="02566C17"/>
    <w:rsid w:val="025C4BEF"/>
    <w:rsid w:val="026246A1"/>
    <w:rsid w:val="0262759F"/>
    <w:rsid w:val="02655431"/>
    <w:rsid w:val="027275A1"/>
    <w:rsid w:val="027371D9"/>
    <w:rsid w:val="0276366F"/>
    <w:rsid w:val="027F646E"/>
    <w:rsid w:val="027F64CF"/>
    <w:rsid w:val="02867DB1"/>
    <w:rsid w:val="028F6D4C"/>
    <w:rsid w:val="02926AD9"/>
    <w:rsid w:val="02933CBB"/>
    <w:rsid w:val="02951DBD"/>
    <w:rsid w:val="02976D78"/>
    <w:rsid w:val="02983E12"/>
    <w:rsid w:val="029A69A7"/>
    <w:rsid w:val="029B04E7"/>
    <w:rsid w:val="02A10998"/>
    <w:rsid w:val="02AB0FBC"/>
    <w:rsid w:val="02AE6812"/>
    <w:rsid w:val="02D16C80"/>
    <w:rsid w:val="02DC3F9C"/>
    <w:rsid w:val="02E63DE2"/>
    <w:rsid w:val="02FB6CDA"/>
    <w:rsid w:val="03036B01"/>
    <w:rsid w:val="03052298"/>
    <w:rsid w:val="03073BDC"/>
    <w:rsid w:val="030A6B04"/>
    <w:rsid w:val="030B0647"/>
    <w:rsid w:val="030B2860"/>
    <w:rsid w:val="030C40C1"/>
    <w:rsid w:val="030D2F0B"/>
    <w:rsid w:val="03147E4E"/>
    <w:rsid w:val="03187492"/>
    <w:rsid w:val="031E429F"/>
    <w:rsid w:val="032F336F"/>
    <w:rsid w:val="03317AD0"/>
    <w:rsid w:val="033C68CE"/>
    <w:rsid w:val="033F734A"/>
    <w:rsid w:val="03445E8F"/>
    <w:rsid w:val="03496C64"/>
    <w:rsid w:val="035154D3"/>
    <w:rsid w:val="03527C38"/>
    <w:rsid w:val="0356746F"/>
    <w:rsid w:val="0360259A"/>
    <w:rsid w:val="036522E7"/>
    <w:rsid w:val="036E37C2"/>
    <w:rsid w:val="03746F87"/>
    <w:rsid w:val="037C6EF7"/>
    <w:rsid w:val="03814F5B"/>
    <w:rsid w:val="038B3141"/>
    <w:rsid w:val="03A77DFA"/>
    <w:rsid w:val="03B339B1"/>
    <w:rsid w:val="03C05350"/>
    <w:rsid w:val="03C1287B"/>
    <w:rsid w:val="03C36B0E"/>
    <w:rsid w:val="03C528EA"/>
    <w:rsid w:val="03CF67FA"/>
    <w:rsid w:val="03E120EA"/>
    <w:rsid w:val="03E358F3"/>
    <w:rsid w:val="03E84DE8"/>
    <w:rsid w:val="03E94550"/>
    <w:rsid w:val="03EC63CD"/>
    <w:rsid w:val="04030035"/>
    <w:rsid w:val="04142BDC"/>
    <w:rsid w:val="04242D1B"/>
    <w:rsid w:val="04251A4C"/>
    <w:rsid w:val="042D2E97"/>
    <w:rsid w:val="04305EA0"/>
    <w:rsid w:val="04310833"/>
    <w:rsid w:val="04343921"/>
    <w:rsid w:val="04346443"/>
    <w:rsid w:val="043865BF"/>
    <w:rsid w:val="043A14AD"/>
    <w:rsid w:val="044C78D8"/>
    <w:rsid w:val="04537B11"/>
    <w:rsid w:val="04684A28"/>
    <w:rsid w:val="046C0EAE"/>
    <w:rsid w:val="04782230"/>
    <w:rsid w:val="0479507E"/>
    <w:rsid w:val="04894975"/>
    <w:rsid w:val="04922411"/>
    <w:rsid w:val="04A65723"/>
    <w:rsid w:val="04B14B03"/>
    <w:rsid w:val="04CF6607"/>
    <w:rsid w:val="04D46535"/>
    <w:rsid w:val="04DA1A87"/>
    <w:rsid w:val="04DC0F32"/>
    <w:rsid w:val="04DE2DA3"/>
    <w:rsid w:val="04DF3C0B"/>
    <w:rsid w:val="04EB6DF8"/>
    <w:rsid w:val="04FF1C94"/>
    <w:rsid w:val="04FF7D5A"/>
    <w:rsid w:val="0502349F"/>
    <w:rsid w:val="050C587A"/>
    <w:rsid w:val="050E7487"/>
    <w:rsid w:val="05161D2D"/>
    <w:rsid w:val="051B5DBA"/>
    <w:rsid w:val="0522500E"/>
    <w:rsid w:val="052E568F"/>
    <w:rsid w:val="05344105"/>
    <w:rsid w:val="053973F0"/>
    <w:rsid w:val="053E65E7"/>
    <w:rsid w:val="054B2F7A"/>
    <w:rsid w:val="0555228E"/>
    <w:rsid w:val="05636085"/>
    <w:rsid w:val="057D1D66"/>
    <w:rsid w:val="059D265F"/>
    <w:rsid w:val="059E1515"/>
    <w:rsid w:val="05B92EC1"/>
    <w:rsid w:val="05DB542B"/>
    <w:rsid w:val="05E00AEA"/>
    <w:rsid w:val="05E078B3"/>
    <w:rsid w:val="05E942A3"/>
    <w:rsid w:val="05EA759F"/>
    <w:rsid w:val="05EE6827"/>
    <w:rsid w:val="0601277E"/>
    <w:rsid w:val="060C5AED"/>
    <w:rsid w:val="06103146"/>
    <w:rsid w:val="06172561"/>
    <w:rsid w:val="061E54DA"/>
    <w:rsid w:val="061E5E22"/>
    <w:rsid w:val="06223FD1"/>
    <w:rsid w:val="062B2FCF"/>
    <w:rsid w:val="063F63E4"/>
    <w:rsid w:val="06460B91"/>
    <w:rsid w:val="0654187C"/>
    <w:rsid w:val="065475DE"/>
    <w:rsid w:val="06556C03"/>
    <w:rsid w:val="06782F84"/>
    <w:rsid w:val="067C28D6"/>
    <w:rsid w:val="068A55C2"/>
    <w:rsid w:val="068E06BC"/>
    <w:rsid w:val="069201CB"/>
    <w:rsid w:val="06956E2E"/>
    <w:rsid w:val="06AC7765"/>
    <w:rsid w:val="06B62C91"/>
    <w:rsid w:val="06B741D9"/>
    <w:rsid w:val="06B756E7"/>
    <w:rsid w:val="06C457B6"/>
    <w:rsid w:val="06CA5532"/>
    <w:rsid w:val="06CD4A70"/>
    <w:rsid w:val="06DF4C13"/>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81725F"/>
    <w:rsid w:val="078C5933"/>
    <w:rsid w:val="078D336C"/>
    <w:rsid w:val="07971B3F"/>
    <w:rsid w:val="07983294"/>
    <w:rsid w:val="079B3BB0"/>
    <w:rsid w:val="079F1838"/>
    <w:rsid w:val="07A2030D"/>
    <w:rsid w:val="07A5677E"/>
    <w:rsid w:val="07B51934"/>
    <w:rsid w:val="07B9290D"/>
    <w:rsid w:val="07BE52B9"/>
    <w:rsid w:val="07C55A1A"/>
    <w:rsid w:val="07CB1347"/>
    <w:rsid w:val="07D57946"/>
    <w:rsid w:val="07ED524D"/>
    <w:rsid w:val="07F065BC"/>
    <w:rsid w:val="080124E3"/>
    <w:rsid w:val="08030E27"/>
    <w:rsid w:val="080C7FA0"/>
    <w:rsid w:val="080F0F47"/>
    <w:rsid w:val="08193C24"/>
    <w:rsid w:val="082A7098"/>
    <w:rsid w:val="08334B3D"/>
    <w:rsid w:val="08341060"/>
    <w:rsid w:val="08732D34"/>
    <w:rsid w:val="08787FF0"/>
    <w:rsid w:val="087C4B7B"/>
    <w:rsid w:val="08824DF0"/>
    <w:rsid w:val="0889002B"/>
    <w:rsid w:val="089B79D9"/>
    <w:rsid w:val="08A44DA6"/>
    <w:rsid w:val="08AA245A"/>
    <w:rsid w:val="08AD2ACC"/>
    <w:rsid w:val="08BA6E24"/>
    <w:rsid w:val="08C024D5"/>
    <w:rsid w:val="08C562FD"/>
    <w:rsid w:val="08CA27B1"/>
    <w:rsid w:val="08E916DF"/>
    <w:rsid w:val="08F473EA"/>
    <w:rsid w:val="08FC0AA5"/>
    <w:rsid w:val="090E2F35"/>
    <w:rsid w:val="091B4FFA"/>
    <w:rsid w:val="092173F4"/>
    <w:rsid w:val="09262DE9"/>
    <w:rsid w:val="092F7300"/>
    <w:rsid w:val="09306537"/>
    <w:rsid w:val="09355076"/>
    <w:rsid w:val="09392119"/>
    <w:rsid w:val="09445E95"/>
    <w:rsid w:val="094C1D4E"/>
    <w:rsid w:val="09543B3B"/>
    <w:rsid w:val="09600FBD"/>
    <w:rsid w:val="09664528"/>
    <w:rsid w:val="0972595C"/>
    <w:rsid w:val="098143BC"/>
    <w:rsid w:val="098500F1"/>
    <w:rsid w:val="0992510E"/>
    <w:rsid w:val="09B33AE4"/>
    <w:rsid w:val="09BD407A"/>
    <w:rsid w:val="09BF125C"/>
    <w:rsid w:val="09C12CF5"/>
    <w:rsid w:val="09DA0E26"/>
    <w:rsid w:val="09DB6437"/>
    <w:rsid w:val="09E55691"/>
    <w:rsid w:val="09F67CD5"/>
    <w:rsid w:val="0A054821"/>
    <w:rsid w:val="0A077A43"/>
    <w:rsid w:val="0A0835C8"/>
    <w:rsid w:val="0A145721"/>
    <w:rsid w:val="0A355EAA"/>
    <w:rsid w:val="0A3708FF"/>
    <w:rsid w:val="0A3B01F9"/>
    <w:rsid w:val="0A3F0488"/>
    <w:rsid w:val="0A402A36"/>
    <w:rsid w:val="0A4236A3"/>
    <w:rsid w:val="0A4E7EF5"/>
    <w:rsid w:val="0A646846"/>
    <w:rsid w:val="0A7B4D83"/>
    <w:rsid w:val="0A817CBD"/>
    <w:rsid w:val="0A8251CA"/>
    <w:rsid w:val="0A8828AB"/>
    <w:rsid w:val="0A927DC1"/>
    <w:rsid w:val="0A951165"/>
    <w:rsid w:val="0A9B4F7F"/>
    <w:rsid w:val="0A9C263A"/>
    <w:rsid w:val="0A9D54CD"/>
    <w:rsid w:val="0A9E3D3D"/>
    <w:rsid w:val="0AA077E0"/>
    <w:rsid w:val="0AA5327C"/>
    <w:rsid w:val="0AC01F88"/>
    <w:rsid w:val="0AC0212C"/>
    <w:rsid w:val="0AC3085F"/>
    <w:rsid w:val="0AD542C1"/>
    <w:rsid w:val="0ADD5A20"/>
    <w:rsid w:val="0AE10FD9"/>
    <w:rsid w:val="0AF13898"/>
    <w:rsid w:val="0AFB3228"/>
    <w:rsid w:val="0AFC6C07"/>
    <w:rsid w:val="0AFF6A66"/>
    <w:rsid w:val="0B0130D7"/>
    <w:rsid w:val="0B0250FD"/>
    <w:rsid w:val="0B0F025C"/>
    <w:rsid w:val="0B1A6333"/>
    <w:rsid w:val="0B267BFC"/>
    <w:rsid w:val="0B2713F4"/>
    <w:rsid w:val="0B334367"/>
    <w:rsid w:val="0B3B1BC1"/>
    <w:rsid w:val="0B3B5196"/>
    <w:rsid w:val="0B3D701F"/>
    <w:rsid w:val="0B3E7DD7"/>
    <w:rsid w:val="0B491629"/>
    <w:rsid w:val="0B4B40F9"/>
    <w:rsid w:val="0B554398"/>
    <w:rsid w:val="0B561995"/>
    <w:rsid w:val="0B5C2C2A"/>
    <w:rsid w:val="0B6148D2"/>
    <w:rsid w:val="0B665E0A"/>
    <w:rsid w:val="0B680DC4"/>
    <w:rsid w:val="0B7C0E60"/>
    <w:rsid w:val="0B847B39"/>
    <w:rsid w:val="0B987E20"/>
    <w:rsid w:val="0B9E71DF"/>
    <w:rsid w:val="0BA65BCD"/>
    <w:rsid w:val="0BAD5CC5"/>
    <w:rsid w:val="0BAD5EDC"/>
    <w:rsid w:val="0BAF59B9"/>
    <w:rsid w:val="0BB524B8"/>
    <w:rsid w:val="0BB756DF"/>
    <w:rsid w:val="0BC63DB2"/>
    <w:rsid w:val="0BCC4043"/>
    <w:rsid w:val="0BCC4B6A"/>
    <w:rsid w:val="0BE2291A"/>
    <w:rsid w:val="0C07043D"/>
    <w:rsid w:val="0C1E494F"/>
    <w:rsid w:val="0C3427D0"/>
    <w:rsid w:val="0C43327D"/>
    <w:rsid w:val="0C4426AF"/>
    <w:rsid w:val="0C453647"/>
    <w:rsid w:val="0C4577EC"/>
    <w:rsid w:val="0C4F3B0E"/>
    <w:rsid w:val="0C4F7881"/>
    <w:rsid w:val="0C5A77EA"/>
    <w:rsid w:val="0C5C6396"/>
    <w:rsid w:val="0C63431B"/>
    <w:rsid w:val="0C650A20"/>
    <w:rsid w:val="0C690EFA"/>
    <w:rsid w:val="0C6E11B8"/>
    <w:rsid w:val="0C723CD1"/>
    <w:rsid w:val="0C7C294A"/>
    <w:rsid w:val="0C825F28"/>
    <w:rsid w:val="0C89028B"/>
    <w:rsid w:val="0C8B63A3"/>
    <w:rsid w:val="0CB94808"/>
    <w:rsid w:val="0CC146A9"/>
    <w:rsid w:val="0CC37BC2"/>
    <w:rsid w:val="0CC44C49"/>
    <w:rsid w:val="0CD87ABE"/>
    <w:rsid w:val="0CE26C42"/>
    <w:rsid w:val="0CE632FF"/>
    <w:rsid w:val="0CE76B48"/>
    <w:rsid w:val="0CEB5DBE"/>
    <w:rsid w:val="0CFB523A"/>
    <w:rsid w:val="0D074D4A"/>
    <w:rsid w:val="0D0A3371"/>
    <w:rsid w:val="0D0C5764"/>
    <w:rsid w:val="0D1B1E9C"/>
    <w:rsid w:val="0D1C2E6E"/>
    <w:rsid w:val="0D2D3ACB"/>
    <w:rsid w:val="0D4B44A1"/>
    <w:rsid w:val="0D6811B4"/>
    <w:rsid w:val="0D6E2620"/>
    <w:rsid w:val="0D704E21"/>
    <w:rsid w:val="0D7F48FE"/>
    <w:rsid w:val="0D883C88"/>
    <w:rsid w:val="0D8A6002"/>
    <w:rsid w:val="0D9074CF"/>
    <w:rsid w:val="0D936E72"/>
    <w:rsid w:val="0D966BF7"/>
    <w:rsid w:val="0DB54F84"/>
    <w:rsid w:val="0DB84465"/>
    <w:rsid w:val="0DCC3AE8"/>
    <w:rsid w:val="0DD87842"/>
    <w:rsid w:val="0DDE2885"/>
    <w:rsid w:val="0DEF012A"/>
    <w:rsid w:val="0DF202E1"/>
    <w:rsid w:val="0DF53CE3"/>
    <w:rsid w:val="0E0961C5"/>
    <w:rsid w:val="0E0C6AA6"/>
    <w:rsid w:val="0E147898"/>
    <w:rsid w:val="0E264DDB"/>
    <w:rsid w:val="0E2F216B"/>
    <w:rsid w:val="0E327317"/>
    <w:rsid w:val="0E3352C6"/>
    <w:rsid w:val="0E3A5EE2"/>
    <w:rsid w:val="0E542F3B"/>
    <w:rsid w:val="0E5757F7"/>
    <w:rsid w:val="0E591BF0"/>
    <w:rsid w:val="0E6271DF"/>
    <w:rsid w:val="0E6438B9"/>
    <w:rsid w:val="0E78367D"/>
    <w:rsid w:val="0E81568A"/>
    <w:rsid w:val="0E903E3B"/>
    <w:rsid w:val="0E942250"/>
    <w:rsid w:val="0E963344"/>
    <w:rsid w:val="0E9E6E00"/>
    <w:rsid w:val="0EA40C1C"/>
    <w:rsid w:val="0EAA759E"/>
    <w:rsid w:val="0EAF381F"/>
    <w:rsid w:val="0EB72E4B"/>
    <w:rsid w:val="0ECE6156"/>
    <w:rsid w:val="0EEC6F1D"/>
    <w:rsid w:val="0F0621F6"/>
    <w:rsid w:val="0F103291"/>
    <w:rsid w:val="0F15660A"/>
    <w:rsid w:val="0F1D0EA6"/>
    <w:rsid w:val="0F1D498B"/>
    <w:rsid w:val="0F22242C"/>
    <w:rsid w:val="0F337178"/>
    <w:rsid w:val="0F3B15FC"/>
    <w:rsid w:val="0F41022A"/>
    <w:rsid w:val="0F56743B"/>
    <w:rsid w:val="0F60682C"/>
    <w:rsid w:val="0F661944"/>
    <w:rsid w:val="0F6763D9"/>
    <w:rsid w:val="0F715B2B"/>
    <w:rsid w:val="0F744211"/>
    <w:rsid w:val="0F764270"/>
    <w:rsid w:val="0F7F273F"/>
    <w:rsid w:val="0F7F7919"/>
    <w:rsid w:val="0F8418ED"/>
    <w:rsid w:val="0F8B3A90"/>
    <w:rsid w:val="0F957B47"/>
    <w:rsid w:val="0F98796C"/>
    <w:rsid w:val="0F9F6FA4"/>
    <w:rsid w:val="0FA20284"/>
    <w:rsid w:val="0FA65D5C"/>
    <w:rsid w:val="0FAA75F1"/>
    <w:rsid w:val="0FAD33DA"/>
    <w:rsid w:val="0FAD71D4"/>
    <w:rsid w:val="0FBE2A42"/>
    <w:rsid w:val="0FC17CCE"/>
    <w:rsid w:val="0FC424B9"/>
    <w:rsid w:val="0FCB3854"/>
    <w:rsid w:val="0FCC3C6A"/>
    <w:rsid w:val="0FD576BA"/>
    <w:rsid w:val="0FD70565"/>
    <w:rsid w:val="0FE928D1"/>
    <w:rsid w:val="0FEC680C"/>
    <w:rsid w:val="0FFD688F"/>
    <w:rsid w:val="0FFF0BF3"/>
    <w:rsid w:val="10007AD6"/>
    <w:rsid w:val="101B1E8A"/>
    <w:rsid w:val="101C4A03"/>
    <w:rsid w:val="101D0C86"/>
    <w:rsid w:val="10320BC0"/>
    <w:rsid w:val="104A023B"/>
    <w:rsid w:val="104B6A1B"/>
    <w:rsid w:val="10501493"/>
    <w:rsid w:val="10505F3B"/>
    <w:rsid w:val="10677613"/>
    <w:rsid w:val="106D2686"/>
    <w:rsid w:val="107407B6"/>
    <w:rsid w:val="107C3E2C"/>
    <w:rsid w:val="107D41AE"/>
    <w:rsid w:val="108C2479"/>
    <w:rsid w:val="10B3132B"/>
    <w:rsid w:val="10C715C5"/>
    <w:rsid w:val="10D335EF"/>
    <w:rsid w:val="10E255A6"/>
    <w:rsid w:val="10E746EA"/>
    <w:rsid w:val="10E83FE0"/>
    <w:rsid w:val="10EC3168"/>
    <w:rsid w:val="10F52718"/>
    <w:rsid w:val="10F70AE6"/>
    <w:rsid w:val="11123EF8"/>
    <w:rsid w:val="11124F2E"/>
    <w:rsid w:val="11125358"/>
    <w:rsid w:val="111F38A5"/>
    <w:rsid w:val="111F6CBE"/>
    <w:rsid w:val="112D2A42"/>
    <w:rsid w:val="113A22DB"/>
    <w:rsid w:val="114028DC"/>
    <w:rsid w:val="11441C15"/>
    <w:rsid w:val="11583891"/>
    <w:rsid w:val="1159252B"/>
    <w:rsid w:val="1160765D"/>
    <w:rsid w:val="116F1EB0"/>
    <w:rsid w:val="11727495"/>
    <w:rsid w:val="117A242E"/>
    <w:rsid w:val="117B1D6A"/>
    <w:rsid w:val="117C2D9D"/>
    <w:rsid w:val="117F159E"/>
    <w:rsid w:val="11821DC9"/>
    <w:rsid w:val="11897A08"/>
    <w:rsid w:val="11921373"/>
    <w:rsid w:val="119D7849"/>
    <w:rsid w:val="11A615EE"/>
    <w:rsid w:val="11A658F4"/>
    <w:rsid w:val="11B16FA5"/>
    <w:rsid w:val="11B91A57"/>
    <w:rsid w:val="11BA3FAE"/>
    <w:rsid w:val="11C67B8F"/>
    <w:rsid w:val="11CE730E"/>
    <w:rsid w:val="11D815C4"/>
    <w:rsid w:val="11D85BD5"/>
    <w:rsid w:val="11E57D4F"/>
    <w:rsid w:val="11EE7275"/>
    <w:rsid w:val="11F40833"/>
    <w:rsid w:val="11F92DAB"/>
    <w:rsid w:val="11FB6DE4"/>
    <w:rsid w:val="11FC38D5"/>
    <w:rsid w:val="11FD37F5"/>
    <w:rsid w:val="120F1E38"/>
    <w:rsid w:val="1210682D"/>
    <w:rsid w:val="122215D3"/>
    <w:rsid w:val="122510AD"/>
    <w:rsid w:val="122F0F93"/>
    <w:rsid w:val="123A05DB"/>
    <w:rsid w:val="124240B9"/>
    <w:rsid w:val="12491684"/>
    <w:rsid w:val="124D0988"/>
    <w:rsid w:val="124E44B4"/>
    <w:rsid w:val="126532DD"/>
    <w:rsid w:val="12680E73"/>
    <w:rsid w:val="12763466"/>
    <w:rsid w:val="127E5AA6"/>
    <w:rsid w:val="12811F99"/>
    <w:rsid w:val="128B2749"/>
    <w:rsid w:val="128E1E81"/>
    <w:rsid w:val="129019B5"/>
    <w:rsid w:val="129811DB"/>
    <w:rsid w:val="129937EE"/>
    <w:rsid w:val="129E6282"/>
    <w:rsid w:val="129F3A3A"/>
    <w:rsid w:val="12AA7237"/>
    <w:rsid w:val="12AB7A32"/>
    <w:rsid w:val="12BB6535"/>
    <w:rsid w:val="12C7312B"/>
    <w:rsid w:val="12D22971"/>
    <w:rsid w:val="12D85654"/>
    <w:rsid w:val="12DF4A87"/>
    <w:rsid w:val="12E265EC"/>
    <w:rsid w:val="12E706B5"/>
    <w:rsid w:val="12EE5106"/>
    <w:rsid w:val="12F777F2"/>
    <w:rsid w:val="1307341C"/>
    <w:rsid w:val="130C40FE"/>
    <w:rsid w:val="130E3629"/>
    <w:rsid w:val="131B39DD"/>
    <w:rsid w:val="13283BA4"/>
    <w:rsid w:val="13332F77"/>
    <w:rsid w:val="13334E1C"/>
    <w:rsid w:val="13346EE4"/>
    <w:rsid w:val="13384952"/>
    <w:rsid w:val="1355107F"/>
    <w:rsid w:val="135D4D2E"/>
    <w:rsid w:val="1366638D"/>
    <w:rsid w:val="1369011A"/>
    <w:rsid w:val="136D76E8"/>
    <w:rsid w:val="137266E0"/>
    <w:rsid w:val="13811975"/>
    <w:rsid w:val="138559AC"/>
    <w:rsid w:val="138F3C22"/>
    <w:rsid w:val="139D3156"/>
    <w:rsid w:val="13A50F41"/>
    <w:rsid w:val="13A825CD"/>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355342"/>
    <w:rsid w:val="144C1C02"/>
    <w:rsid w:val="144D63F0"/>
    <w:rsid w:val="145103FA"/>
    <w:rsid w:val="145F07C7"/>
    <w:rsid w:val="14601908"/>
    <w:rsid w:val="14632D00"/>
    <w:rsid w:val="146B69A8"/>
    <w:rsid w:val="146C5189"/>
    <w:rsid w:val="146F1089"/>
    <w:rsid w:val="14816B50"/>
    <w:rsid w:val="148313F4"/>
    <w:rsid w:val="1485665F"/>
    <w:rsid w:val="14934F1A"/>
    <w:rsid w:val="149559C4"/>
    <w:rsid w:val="149D71D6"/>
    <w:rsid w:val="149E3770"/>
    <w:rsid w:val="14A13FBC"/>
    <w:rsid w:val="14A67171"/>
    <w:rsid w:val="14AA71CB"/>
    <w:rsid w:val="14AC0C32"/>
    <w:rsid w:val="14B2463E"/>
    <w:rsid w:val="14B57287"/>
    <w:rsid w:val="14B602D5"/>
    <w:rsid w:val="14C45576"/>
    <w:rsid w:val="14C76D6C"/>
    <w:rsid w:val="14CE33C4"/>
    <w:rsid w:val="14D60E60"/>
    <w:rsid w:val="14DA3DA1"/>
    <w:rsid w:val="14E60B42"/>
    <w:rsid w:val="14E75E9B"/>
    <w:rsid w:val="14EA1C4D"/>
    <w:rsid w:val="14EF0267"/>
    <w:rsid w:val="14FB736A"/>
    <w:rsid w:val="150222BF"/>
    <w:rsid w:val="150F7C33"/>
    <w:rsid w:val="151178FC"/>
    <w:rsid w:val="1515004B"/>
    <w:rsid w:val="151B7C99"/>
    <w:rsid w:val="15207BBA"/>
    <w:rsid w:val="15222DA1"/>
    <w:rsid w:val="15256B65"/>
    <w:rsid w:val="152F4E1B"/>
    <w:rsid w:val="154806E1"/>
    <w:rsid w:val="154D342A"/>
    <w:rsid w:val="1559587F"/>
    <w:rsid w:val="155E7DEC"/>
    <w:rsid w:val="15740334"/>
    <w:rsid w:val="1574662E"/>
    <w:rsid w:val="15751882"/>
    <w:rsid w:val="1575191B"/>
    <w:rsid w:val="157818C6"/>
    <w:rsid w:val="158133D5"/>
    <w:rsid w:val="159F73BB"/>
    <w:rsid w:val="15B03F28"/>
    <w:rsid w:val="15C15E25"/>
    <w:rsid w:val="15C42571"/>
    <w:rsid w:val="15E30A80"/>
    <w:rsid w:val="15FD2FA2"/>
    <w:rsid w:val="160125B6"/>
    <w:rsid w:val="16021A7C"/>
    <w:rsid w:val="1608480E"/>
    <w:rsid w:val="161C1C58"/>
    <w:rsid w:val="162B27CD"/>
    <w:rsid w:val="162D7415"/>
    <w:rsid w:val="162F7556"/>
    <w:rsid w:val="163814FD"/>
    <w:rsid w:val="163A6AD4"/>
    <w:rsid w:val="16413A3A"/>
    <w:rsid w:val="1644500C"/>
    <w:rsid w:val="16461A95"/>
    <w:rsid w:val="16594F06"/>
    <w:rsid w:val="165A38E6"/>
    <w:rsid w:val="166C5DB6"/>
    <w:rsid w:val="166F5E80"/>
    <w:rsid w:val="16766A92"/>
    <w:rsid w:val="167A52A9"/>
    <w:rsid w:val="167B20D8"/>
    <w:rsid w:val="167B7B40"/>
    <w:rsid w:val="167C6594"/>
    <w:rsid w:val="16833ACA"/>
    <w:rsid w:val="16866882"/>
    <w:rsid w:val="16872167"/>
    <w:rsid w:val="16895E32"/>
    <w:rsid w:val="168F69F2"/>
    <w:rsid w:val="169865AE"/>
    <w:rsid w:val="169C7FDE"/>
    <w:rsid w:val="16A4319F"/>
    <w:rsid w:val="16AC4DDB"/>
    <w:rsid w:val="16AE2FE3"/>
    <w:rsid w:val="16B23908"/>
    <w:rsid w:val="16B4400E"/>
    <w:rsid w:val="16C16240"/>
    <w:rsid w:val="16C71372"/>
    <w:rsid w:val="16C739DF"/>
    <w:rsid w:val="16C86CDB"/>
    <w:rsid w:val="16DD3B26"/>
    <w:rsid w:val="16E73506"/>
    <w:rsid w:val="16EB6E00"/>
    <w:rsid w:val="16EE7649"/>
    <w:rsid w:val="16F04615"/>
    <w:rsid w:val="16FD2447"/>
    <w:rsid w:val="1712339A"/>
    <w:rsid w:val="171E63FC"/>
    <w:rsid w:val="1722504D"/>
    <w:rsid w:val="17306175"/>
    <w:rsid w:val="1738730F"/>
    <w:rsid w:val="17416499"/>
    <w:rsid w:val="17481B81"/>
    <w:rsid w:val="17481E8B"/>
    <w:rsid w:val="174A69B0"/>
    <w:rsid w:val="175007ED"/>
    <w:rsid w:val="175D7538"/>
    <w:rsid w:val="17605E9B"/>
    <w:rsid w:val="17611CB8"/>
    <w:rsid w:val="176B45C6"/>
    <w:rsid w:val="176C447F"/>
    <w:rsid w:val="17850F99"/>
    <w:rsid w:val="17875303"/>
    <w:rsid w:val="178815C4"/>
    <w:rsid w:val="17891C0B"/>
    <w:rsid w:val="178F2F4E"/>
    <w:rsid w:val="1793626E"/>
    <w:rsid w:val="17991452"/>
    <w:rsid w:val="17A875F5"/>
    <w:rsid w:val="17B5256D"/>
    <w:rsid w:val="17B52BE2"/>
    <w:rsid w:val="17B92501"/>
    <w:rsid w:val="17DE2FB7"/>
    <w:rsid w:val="17E47B20"/>
    <w:rsid w:val="17E65848"/>
    <w:rsid w:val="17E66DD8"/>
    <w:rsid w:val="17E84839"/>
    <w:rsid w:val="17EE1403"/>
    <w:rsid w:val="17F25234"/>
    <w:rsid w:val="17F33DC6"/>
    <w:rsid w:val="17F45149"/>
    <w:rsid w:val="17FD061B"/>
    <w:rsid w:val="17FD20FD"/>
    <w:rsid w:val="17FF6314"/>
    <w:rsid w:val="18005F41"/>
    <w:rsid w:val="18025414"/>
    <w:rsid w:val="18171305"/>
    <w:rsid w:val="1820454C"/>
    <w:rsid w:val="1829280B"/>
    <w:rsid w:val="18334194"/>
    <w:rsid w:val="183E1D37"/>
    <w:rsid w:val="1840126B"/>
    <w:rsid w:val="1846724A"/>
    <w:rsid w:val="184A22E6"/>
    <w:rsid w:val="184D0787"/>
    <w:rsid w:val="185D1883"/>
    <w:rsid w:val="185E3AA1"/>
    <w:rsid w:val="185F15CF"/>
    <w:rsid w:val="18717152"/>
    <w:rsid w:val="18812331"/>
    <w:rsid w:val="18816F1C"/>
    <w:rsid w:val="18847050"/>
    <w:rsid w:val="18853F3E"/>
    <w:rsid w:val="188F3639"/>
    <w:rsid w:val="18956393"/>
    <w:rsid w:val="18A8582C"/>
    <w:rsid w:val="18B50543"/>
    <w:rsid w:val="18CA40C3"/>
    <w:rsid w:val="18CD7A02"/>
    <w:rsid w:val="18D904AC"/>
    <w:rsid w:val="19001FFC"/>
    <w:rsid w:val="19083894"/>
    <w:rsid w:val="190E2B4A"/>
    <w:rsid w:val="19256D7A"/>
    <w:rsid w:val="193275C2"/>
    <w:rsid w:val="19342CF4"/>
    <w:rsid w:val="193A500F"/>
    <w:rsid w:val="193B3E86"/>
    <w:rsid w:val="19463A75"/>
    <w:rsid w:val="194D2005"/>
    <w:rsid w:val="19655A52"/>
    <w:rsid w:val="19663168"/>
    <w:rsid w:val="197724BD"/>
    <w:rsid w:val="19786B0A"/>
    <w:rsid w:val="198A41A1"/>
    <w:rsid w:val="199A2059"/>
    <w:rsid w:val="19AE76C7"/>
    <w:rsid w:val="19B46E10"/>
    <w:rsid w:val="19C456C1"/>
    <w:rsid w:val="19E24986"/>
    <w:rsid w:val="19E256B5"/>
    <w:rsid w:val="19E54655"/>
    <w:rsid w:val="19F061A1"/>
    <w:rsid w:val="19F81E45"/>
    <w:rsid w:val="1A054259"/>
    <w:rsid w:val="1A081816"/>
    <w:rsid w:val="1A0C5680"/>
    <w:rsid w:val="1A165171"/>
    <w:rsid w:val="1A3068A4"/>
    <w:rsid w:val="1A410451"/>
    <w:rsid w:val="1A4858FF"/>
    <w:rsid w:val="1A4C698A"/>
    <w:rsid w:val="1A4D778D"/>
    <w:rsid w:val="1A5D5219"/>
    <w:rsid w:val="1A5E4B5A"/>
    <w:rsid w:val="1A672B1C"/>
    <w:rsid w:val="1A7070DD"/>
    <w:rsid w:val="1A805F1C"/>
    <w:rsid w:val="1A8301C0"/>
    <w:rsid w:val="1A872248"/>
    <w:rsid w:val="1A9B2279"/>
    <w:rsid w:val="1A9D1677"/>
    <w:rsid w:val="1A9E6232"/>
    <w:rsid w:val="1AA57BA7"/>
    <w:rsid w:val="1AA74D3D"/>
    <w:rsid w:val="1AB34DB4"/>
    <w:rsid w:val="1AB613FD"/>
    <w:rsid w:val="1AB64B19"/>
    <w:rsid w:val="1AB73747"/>
    <w:rsid w:val="1AC03C10"/>
    <w:rsid w:val="1AC36D4A"/>
    <w:rsid w:val="1ACF5EB8"/>
    <w:rsid w:val="1AD26086"/>
    <w:rsid w:val="1ADD5ACE"/>
    <w:rsid w:val="1AE013F8"/>
    <w:rsid w:val="1AE8570C"/>
    <w:rsid w:val="1AF7297B"/>
    <w:rsid w:val="1AF97DCC"/>
    <w:rsid w:val="1AFB06A3"/>
    <w:rsid w:val="1B062896"/>
    <w:rsid w:val="1B0A0A03"/>
    <w:rsid w:val="1B0F19AE"/>
    <w:rsid w:val="1B141BBC"/>
    <w:rsid w:val="1B2160BB"/>
    <w:rsid w:val="1B3637AD"/>
    <w:rsid w:val="1B3E0DB5"/>
    <w:rsid w:val="1B454C94"/>
    <w:rsid w:val="1B454E69"/>
    <w:rsid w:val="1B5C1145"/>
    <w:rsid w:val="1B5D79CB"/>
    <w:rsid w:val="1B6B769D"/>
    <w:rsid w:val="1B6C0DF0"/>
    <w:rsid w:val="1B7F6005"/>
    <w:rsid w:val="1B874E63"/>
    <w:rsid w:val="1B9C269A"/>
    <w:rsid w:val="1B9E64C5"/>
    <w:rsid w:val="1B9E6D4C"/>
    <w:rsid w:val="1BB07CEA"/>
    <w:rsid w:val="1BBD43BA"/>
    <w:rsid w:val="1BC01115"/>
    <w:rsid w:val="1BC44015"/>
    <w:rsid w:val="1BC96DA5"/>
    <w:rsid w:val="1BCA6284"/>
    <w:rsid w:val="1BCC6C47"/>
    <w:rsid w:val="1BE32C74"/>
    <w:rsid w:val="1BF46563"/>
    <w:rsid w:val="1BFB481C"/>
    <w:rsid w:val="1BFE5FF9"/>
    <w:rsid w:val="1BFE7B2D"/>
    <w:rsid w:val="1C013494"/>
    <w:rsid w:val="1C053414"/>
    <w:rsid w:val="1C132CB9"/>
    <w:rsid w:val="1C1642A1"/>
    <w:rsid w:val="1C2146C5"/>
    <w:rsid w:val="1C240174"/>
    <w:rsid w:val="1C273D33"/>
    <w:rsid w:val="1C4032AB"/>
    <w:rsid w:val="1C4672ED"/>
    <w:rsid w:val="1C467AB6"/>
    <w:rsid w:val="1C591347"/>
    <w:rsid w:val="1C6277A9"/>
    <w:rsid w:val="1C750818"/>
    <w:rsid w:val="1C7F54CE"/>
    <w:rsid w:val="1C7F743F"/>
    <w:rsid w:val="1C8C4AA9"/>
    <w:rsid w:val="1C8C604B"/>
    <w:rsid w:val="1C92160B"/>
    <w:rsid w:val="1C973EEF"/>
    <w:rsid w:val="1CA03243"/>
    <w:rsid w:val="1CAC112E"/>
    <w:rsid w:val="1CAF5DB2"/>
    <w:rsid w:val="1CB40DF1"/>
    <w:rsid w:val="1CB86812"/>
    <w:rsid w:val="1CC11084"/>
    <w:rsid w:val="1CC71DD3"/>
    <w:rsid w:val="1CCC26CA"/>
    <w:rsid w:val="1CD2156B"/>
    <w:rsid w:val="1CD41743"/>
    <w:rsid w:val="1CD44D3D"/>
    <w:rsid w:val="1CD77F43"/>
    <w:rsid w:val="1CE45EF5"/>
    <w:rsid w:val="1CE615C9"/>
    <w:rsid w:val="1CED1E7E"/>
    <w:rsid w:val="1D037029"/>
    <w:rsid w:val="1D0A6B98"/>
    <w:rsid w:val="1D227612"/>
    <w:rsid w:val="1D3305FF"/>
    <w:rsid w:val="1D395282"/>
    <w:rsid w:val="1D4251BA"/>
    <w:rsid w:val="1D5B2FF2"/>
    <w:rsid w:val="1D5F5386"/>
    <w:rsid w:val="1D70348C"/>
    <w:rsid w:val="1D7072CE"/>
    <w:rsid w:val="1D794A16"/>
    <w:rsid w:val="1D80759A"/>
    <w:rsid w:val="1D8A021B"/>
    <w:rsid w:val="1D9E30A9"/>
    <w:rsid w:val="1DAB1006"/>
    <w:rsid w:val="1DAB2A0A"/>
    <w:rsid w:val="1DB33C11"/>
    <w:rsid w:val="1DC65562"/>
    <w:rsid w:val="1DD34749"/>
    <w:rsid w:val="1DDD201B"/>
    <w:rsid w:val="1DE94164"/>
    <w:rsid w:val="1DEE1B11"/>
    <w:rsid w:val="1E105A20"/>
    <w:rsid w:val="1E164B52"/>
    <w:rsid w:val="1E26583C"/>
    <w:rsid w:val="1E273844"/>
    <w:rsid w:val="1E2F243E"/>
    <w:rsid w:val="1E3B4F6B"/>
    <w:rsid w:val="1E455D19"/>
    <w:rsid w:val="1E595CAF"/>
    <w:rsid w:val="1E5C31E8"/>
    <w:rsid w:val="1E6607F9"/>
    <w:rsid w:val="1E691070"/>
    <w:rsid w:val="1E7E6BFD"/>
    <w:rsid w:val="1E805396"/>
    <w:rsid w:val="1E821B53"/>
    <w:rsid w:val="1E884F62"/>
    <w:rsid w:val="1E8D685D"/>
    <w:rsid w:val="1E9D6342"/>
    <w:rsid w:val="1E9D6D15"/>
    <w:rsid w:val="1EA7402F"/>
    <w:rsid w:val="1EA77730"/>
    <w:rsid w:val="1EA80D43"/>
    <w:rsid w:val="1EBC3647"/>
    <w:rsid w:val="1EBD1EAD"/>
    <w:rsid w:val="1EC36E9D"/>
    <w:rsid w:val="1EE25FDD"/>
    <w:rsid w:val="1EEF7878"/>
    <w:rsid w:val="1EF5103F"/>
    <w:rsid w:val="1EF86BDC"/>
    <w:rsid w:val="1EFF621F"/>
    <w:rsid w:val="1F001DEB"/>
    <w:rsid w:val="1F090F9B"/>
    <w:rsid w:val="1F0A0088"/>
    <w:rsid w:val="1F0E5D6B"/>
    <w:rsid w:val="1F0F2943"/>
    <w:rsid w:val="1F1420D0"/>
    <w:rsid w:val="1F194C88"/>
    <w:rsid w:val="1F323C57"/>
    <w:rsid w:val="1F343977"/>
    <w:rsid w:val="1F3E662A"/>
    <w:rsid w:val="1F4F2219"/>
    <w:rsid w:val="1F614D01"/>
    <w:rsid w:val="1F721405"/>
    <w:rsid w:val="1F935819"/>
    <w:rsid w:val="1FA036A3"/>
    <w:rsid w:val="1FA6556D"/>
    <w:rsid w:val="1FAF2571"/>
    <w:rsid w:val="1FB33036"/>
    <w:rsid w:val="1FC55EDA"/>
    <w:rsid w:val="1FC658C9"/>
    <w:rsid w:val="1FCE593C"/>
    <w:rsid w:val="1FE312AC"/>
    <w:rsid w:val="1FEC5915"/>
    <w:rsid w:val="1FED32EF"/>
    <w:rsid w:val="1FF82884"/>
    <w:rsid w:val="201E6D7C"/>
    <w:rsid w:val="20446081"/>
    <w:rsid w:val="204852AD"/>
    <w:rsid w:val="204A5E48"/>
    <w:rsid w:val="204A6449"/>
    <w:rsid w:val="204E6676"/>
    <w:rsid w:val="20580C17"/>
    <w:rsid w:val="20595924"/>
    <w:rsid w:val="205A5AA0"/>
    <w:rsid w:val="20773A28"/>
    <w:rsid w:val="208574F4"/>
    <w:rsid w:val="208C4449"/>
    <w:rsid w:val="208F6BAF"/>
    <w:rsid w:val="209414DB"/>
    <w:rsid w:val="20966296"/>
    <w:rsid w:val="20A462BA"/>
    <w:rsid w:val="20BF2AAC"/>
    <w:rsid w:val="20C849C7"/>
    <w:rsid w:val="20DF66D2"/>
    <w:rsid w:val="20EC3F2E"/>
    <w:rsid w:val="20EC7C3E"/>
    <w:rsid w:val="20F07537"/>
    <w:rsid w:val="20FA77BC"/>
    <w:rsid w:val="210548E9"/>
    <w:rsid w:val="210D14B3"/>
    <w:rsid w:val="21124D15"/>
    <w:rsid w:val="21164A79"/>
    <w:rsid w:val="211C7DEA"/>
    <w:rsid w:val="213B13E1"/>
    <w:rsid w:val="213E7119"/>
    <w:rsid w:val="21401C29"/>
    <w:rsid w:val="21530058"/>
    <w:rsid w:val="21567D84"/>
    <w:rsid w:val="216608E3"/>
    <w:rsid w:val="21810744"/>
    <w:rsid w:val="218D6EF5"/>
    <w:rsid w:val="2195668B"/>
    <w:rsid w:val="219F69EC"/>
    <w:rsid w:val="21A130EA"/>
    <w:rsid w:val="21B405F8"/>
    <w:rsid w:val="21B5366A"/>
    <w:rsid w:val="21C267BF"/>
    <w:rsid w:val="21C67C42"/>
    <w:rsid w:val="21CB6217"/>
    <w:rsid w:val="21CD6BCD"/>
    <w:rsid w:val="21CE6067"/>
    <w:rsid w:val="21CF439A"/>
    <w:rsid w:val="21D824E4"/>
    <w:rsid w:val="21F00127"/>
    <w:rsid w:val="21F7745C"/>
    <w:rsid w:val="22035C75"/>
    <w:rsid w:val="221A39C9"/>
    <w:rsid w:val="221D2FA3"/>
    <w:rsid w:val="2226635F"/>
    <w:rsid w:val="222D4F0B"/>
    <w:rsid w:val="223A29CF"/>
    <w:rsid w:val="223D7545"/>
    <w:rsid w:val="22411D14"/>
    <w:rsid w:val="22423BE1"/>
    <w:rsid w:val="22454449"/>
    <w:rsid w:val="22500810"/>
    <w:rsid w:val="22596EC8"/>
    <w:rsid w:val="226347BD"/>
    <w:rsid w:val="22682935"/>
    <w:rsid w:val="226E0A7E"/>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146AC2"/>
    <w:rsid w:val="232C2DD6"/>
    <w:rsid w:val="233C6F76"/>
    <w:rsid w:val="234449F5"/>
    <w:rsid w:val="23536618"/>
    <w:rsid w:val="236C1BCA"/>
    <w:rsid w:val="237464D5"/>
    <w:rsid w:val="23816932"/>
    <w:rsid w:val="23925D42"/>
    <w:rsid w:val="239C062C"/>
    <w:rsid w:val="23A9484E"/>
    <w:rsid w:val="23B32F98"/>
    <w:rsid w:val="23B84268"/>
    <w:rsid w:val="23D17D7B"/>
    <w:rsid w:val="23D36D91"/>
    <w:rsid w:val="23E02099"/>
    <w:rsid w:val="23F70BA5"/>
    <w:rsid w:val="23F93D0D"/>
    <w:rsid w:val="2405417E"/>
    <w:rsid w:val="240731AE"/>
    <w:rsid w:val="24197365"/>
    <w:rsid w:val="241B5C62"/>
    <w:rsid w:val="24312CB0"/>
    <w:rsid w:val="243A6CBE"/>
    <w:rsid w:val="24513B48"/>
    <w:rsid w:val="2458381E"/>
    <w:rsid w:val="245872F9"/>
    <w:rsid w:val="245943D9"/>
    <w:rsid w:val="245E6B64"/>
    <w:rsid w:val="2463385E"/>
    <w:rsid w:val="246B2606"/>
    <w:rsid w:val="24767C7B"/>
    <w:rsid w:val="247C178B"/>
    <w:rsid w:val="24861BCE"/>
    <w:rsid w:val="24967323"/>
    <w:rsid w:val="249D5FC8"/>
    <w:rsid w:val="24A1538E"/>
    <w:rsid w:val="24A628AF"/>
    <w:rsid w:val="24B9450F"/>
    <w:rsid w:val="24C25350"/>
    <w:rsid w:val="24C83F94"/>
    <w:rsid w:val="24D82EE2"/>
    <w:rsid w:val="24F60CDA"/>
    <w:rsid w:val="24FE42EB"/>
    <w:rsid w:val="25090336"/>
    <w:rsid w:val="250D450C"/>
    <w:rsid w:val="25134332"/>
    <w:rsid w:val="25141A5B"/>
    <w:rsid w:val="2521546A"/>
    <w:rsid w:val="252242ED"/>
    <w:rsid w:val="252A2BA6"/>
    <w:rsid w:val="252B49E0"/>
    <w:rsid w:val="252D3CC1"/>
    <w:rsid w:val="254A35DD"/>
    <w:rsid w:val="255D45FE"/>
    <w:rsid w:val="25657E8F"/>
    <w:rsid w:val="25691F8B"/>
    <w:rsid w:val="256E76DE"/>
    <w:rsid w:val="25733F7D"/>
    <w:rsid w:val="25734B61"/>
    <w:rsid w:val="257632D6"/>
    <w:rsid w:val="258004D1"/>
    <w:rsid w:val="25855673"/>
    <w:rsid w:val="258F6BC4"/>
    <w:rsid w:val="2597510C"/>
    <w:rsid w:val="25975923"/>
    <w:rsid w:val="259A3D0A"/>
    <w:rsid w:val="25A95F3E"/>
    <w:rsid w:val="25BD12A6"/>
    <w:rsid w:val="25BF0CF9"/>
    <w:rsid w:val="25BF6041"/>
    <w:rsid w:val="25C35718"/>
    <w:rsid w:val="25C61D8C"/>
    <w:rsid w:val="25CF0252"/>
    <w:rsid w:val="25D0248E"/>
    <w:rsid w:val="25D61C5C"/>
    <w:rsid w:val="25F81D70"/>
    <w:rsid w:val="25FB5636"/>
    <w:rsid w:val="25FE58A9"/>
    <w:rsid w:val="26006FFE"/>
    <w:rsid w:val="26026DCF"/>
    <w:rsid w:val="26070462"/>
    <w:rsid w:val="260D2C45"/>
    <w:rsid w:val="261B63E3"/>
    <w:rsid w:val="262E3CBF"/>
    <w:rsid w:val="26395C92"/>
    <w:rsid w:val="2641231E"/>
    <w:rsid w:val="264252DF"/>
    <w:rsid w:val="26465DA0"/>
    <w:rsid w:val="26562F1C"/>
    <w:rsid w:val="26577EF5"/>
    <w:rsid w:val="265A5249"/>
    <w:rsid w:val="266237C3"/>
    <w:rsid w:val="267550B9"/>
    <w:rsid w:val="26996DAE"/>
    <w:rsid w:val="26BE1846"/>
    <w:rsid w:val="26C472EC"/>
    <w:rsid w:val="26E51F4F"/>
    <w:rsid w:val="26EC491A"/>
    <w:rsid w:val="26ED73E1"/>
    <w:rsid w:val="26F503CD"/>
    <w:rsid w:val="27036506"/>
    <w:rsid w:val="27047832"/>
    <w:rsid w:val="2706037D"/>
    <w:rsid w:val="27077793"/>
    <w:rsid w:val="270D152E"/>
    <w:rsid w:val="270D21A5"/>
    <w:rsid w:val="271436A9"/>
    <w:rsid w:val="27204B5D"/>
    <w:rsid w:val="27257DE1"/>
    <w:rsid w:val="272F31A0"/>
    <w:rsid w:val="27310CAC"/>
    <w:rsid w:val="27342901"/>
    <w:rsid w:val="273D2762"/>
    <w:rsid w:val="27470B72"/>
    <w:rsid w:val="27525E32"/>
    <w:rsid w:val="27604751"/>
    <w:rsid w:val="276D111F"/>
    <w:rsid w:val="2778582E"/>
    <w:rsid w:val="27806765"/>
    <w:rsid w:val="27821DE7"/>
    <w:rsid w:val="27832596"/>
    <w:rsid w:val="278C1620"/>
    <w:rsid w:val="279B1E53"/>
    <w:rsid w:val="279C5F0C"/>
    <w:rsid w:val="279E0177"/>
    <w:rsid w:val="27AA3521"/>
    <w:rsid w:val="27AB7429"/>
    <w:rsid w:val="27B10D86"/>
    <w:rsid w:val="27C57B2B"/>
    <w:rsid w:val="27C8029E"/>
    <w:rsid w:val="27CC78AC"/>
    <w:rsid w:val="27D72FE7"/>
    <w:rsid w:val="27D86029"/>
    <w:rsid w:val="27DD45ED"/>
    <w:rsid w:val="27E3651B"/>
    <w:rsid w:val="27E864CC"/>
    <w:rsid w:val="27EC25E3"/>
    <w:rsid w:val="27ED0939"/>
    <w:rsid w:val="27F1498B"/>
    <w:rsid w:val="27F80CA0"/>
    <w:rsid w:val="28021134"/>
    <w:rsid w:val="2802750E"/>
    <w:rsid w:val="28027A71"/>
    <w:rsid w:val="281D5376"/>
    <w:rsid w:val="281F4F67"/>
    <w:rsid w:val="282857E6"/>
    <w:rsid w:val="283744B4"/>
    <w:rsid w:val="283E7768"/>
    <w:rsid w:val="28485D62"/>
    <w:rsid w:val="28517107"/>
    <w:rsid w:val="28524ABE"/>
    <w:rsid w:val="285560D7"/>
    <w:rsid w:val="286C77D1"/>
    <w:rsid w:val="286E74F1"/>
    <w:rsid w:val="28760CA0"/>
    <w:rsid w:val="287B218C"/>
    <w:rsid w:val="288A05DD"/>
    <w:rsid w:val="288C7637"/>
    <w:rsid w:val="28937D89"/>
    <w:rsid w:val="289B0550"/>
    <w:rsid w:val="28A044B5"/>
    <w:rsid w:val="28BD3F79"/>
    <w:rsid w:val="28C8606D"/>
    <w:rsid w:val="28C96C14"/>
    <w:rsid w:val="28DC6BC2"/>
    <w:rsid w:val="28DE11F1"/>
    <w:rsid w:val="28E138E3"/>
    <w:rsid w:val="28E74216"/>
    <w:rsid w:val="28E87EE4"/>
    <w:rsid w:val="28F61640"/>
    <w:rsid w:val="28FD484F"/>
    <w:rsid w:val="290212AC"/>
    <w:rsid w:val="2903396A"/>
    <w:rsid w:val="294E766A"/>
    <w:rsid w:val="2952590A"/>
    <w:rsid w:val="295545AF"/>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E15A2"/>
    <w:rsid w:val="29EC475A"/>
    <w:rsid w:val="29EF3680"/>
    <w:rsid w:val="29EF424E"/>
    <w:rsid w:val="29FA7F26"/>
    <w:rsid w:val="2A0B7871"/>
    <w:rsid w:val="2A166823"/>
    <w:rsid w:val="2A2D25D3"/>
    <w:rsid w:val="2A35650F"/>
    <w:rsid w:val="2A405845"/>
    <w:rsid w:val="2A4562D4"/>
    <w:rsid w:val="2A4D593F"/>
    <w:rsid w:val="2A575627"/>
    <w:rsid w:val="2A6C2D77"/>
    <w:rsid w:val="2A6E31F8"/>
    <w:rsid w:val="2A7270B7"/>
    <w:rsid w:val="2A87174E"/>
    <w:rsid w:val="2A8A2F9C"/>
    <w:rsid w:val="2AA45D17"/>
    <w:rsid w:val="2AAB3B94"/>
    <w:rsid w:val="2AAC5A06"/>
    <w:rsid w:val="2AB775FB"/>
    <w:rsid w:val="2ABB3D6F"/>
    <w:rsid w:val="2AC70B30"/>
    <w:rsid w:val="2ACC2AAF"/>
    <w:rsid w:val="2AD74744"/>
    <w:rsid w:val="2AD91AC2"/>
    <w:rsid w:val="2AE57C95"/>
    <w:rsid w:val="2AF34B3D"/>
    <w:rsid w:val="2AF35C8B"/>
    <w:rsid w:val="2B055F4D"/>
    <w:rsid w:val="2B0C0EEE"/>
    <w:rsid w:val="2B112D02"/>
    <w:rsid w:val="2B132265"/>
    <w:rsid w:val="2B214776"/>
    <w:rsid w:val="2B2843BE"/>
    <w:rsid w:val="2B313FC1"/>
    <w:rsid w:val="2B347C14"/>
    <w:rsid w:val="2B39348E"/>
    <w:rsid w:val="2B437285"/>
    <w:rsid w:val="2B494377"/>
    <w:rsid w:val="2B4D695C"/>
    <w:rsid w:val="2B514803"/>
    <w:rsid w:val="2B5E6C2A"/>
    <w:rsid w:val="2B637D4B"/>
    <w:rsid w:val="2B6B1684"/>
    <w:rsid w:val="2B7B70BF"/>
    <w:rsid w:val="2B853AF3"/>
    <w:rsid w:val="2B8B422C"/>
    <w:rsid w:val="2BA07D38"/>
    <w:rsid w:val="2BA11C0B"/>
    <w:rsid w:val="2BC40957"/>
    <w:rsid w:val="2BCA5C66"/>
    <w:rsid w:val="2BCB5DAA"/>
    <w:rsid w:val="2BD65380"/>
    <w:rsid w:val="2BD86372"/>
    <w:rsid w:val="2BDA39FD"/>
    <w:rsid w:val="2BE725D0"/>
    <w:rsid w:val="2BF369B9"/>
    <w:rsid w:val="2BFC0A4A"/>
    <w:rsid w:val="2C094904"/>
    <w:rsid w:val="2C0E55A1"/>
    <w:rsid w:val="2C346DB5"/>
    <w:rsid w:val="2C3A7BF6"/>
    <w:rsid w:val="2C425BCE"/>
    <w:rsid w:val="2C44676A"/>
    <w:rsid w:val="2C495C38"/>
    <w:rsid w:val="2C4A080C"/>
    <w:rsid w:val="2C4E77B9"/>
    <w:rsid w:val="2C54533B"/>
    <w:rsid w:val="2C591378"/>
    <w:rsid w:val="2C797A76"/>
    <w:rsid w:val="2C8B6C0E"/>
    <w:rsid w:val="2C8F4862"/>
    <w:rsid w:val="2C9E5AC8"/>
    <w:rsid w:val="2CA05674"/>
    <w:rsid w:val="2CA2721B"/>
    <w:rsid w:val="2CAC6D87"/>
    <w:rsid w:val="2CB268EE"/>
    <w:rsid w:val="2CB600FC"/>
    <w:rsid w:val="2CCB6E18"/>
    <w:rsid w:val="2CCF5C52"/>
    <w:rsid w:val="2CE8526F"/>
    <w:rsid w:val="2D024DC7"/>
    <w:rsid w:val="2D026315"/>
    <w:rsid w:val="2D0764BD"/>
    <w:rsid w:val="2D0A3DA2"/>
    <w:rsid w:val="2D0B3169"/>
    <w:rsid w:val="2D0D4219"/>
    <w:rsid w:val="2D105AFA"/>
    <w:rsid w:val="2D2279B8"/>
    <w:rsid w:val="2D274320"/>
    <w:rsid w:val="2D2D2DE2"/>
    <w:rsid w:val="2D324CCC"/>
    <w:rsid w:val="2D340E86"/>
    <w:rsid w:val="2D395427"/>
    <w:rsid w:val="2D3A2269"/>
    <w:rsid w:val="2D3D0E02"/>
    <w:rsid w:val="2D510F65"/>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0F49FC"/>
    <w:rsid w:val="2E147A92"/>
    <w:rsid w:val="2E19011B"/>
    <w:rsid w:val="2E34792A"/>
    <w:rsid w:val="2E376AEB"/>
    <w:rsid w:val="2E437E73"/>
    <w:rsid w:val="2E4A5201"/>
    <w:rsid w:val="2E5034DC"/>
    <w:rsid w:val="2E572AB9"/>
    <w:rsid w:val="2E59712E"/>
    <w:rsid w:val="2E600E38"/>
    <w:rsid w:val="2E7258DC"/>
    <w:rsid w:val="2E7545D2"/>
    <w:rsid w:val="2E79458E"/>
    <w:rsid w:val="2E797A78"/>
    <w:rsid w:val="2E7A5F31"/>
    <w:rsid w:val="2E7C6A94"/>
    <w:rsid w:val="2E8321A5"/>
    <w:rsid w:val="2E8475EF"/>
    <w:rsid w:val="2E8D14A8"/>
    <w:rsid w:val="2E95430E"/>
    <w:rsid w:val="2E9A2060"/>
    <w:rsid w:val="2E9F6D95"/>
    <w:rsid w:val="2EAE350B"/>
    <w:rsid w:val="2EB20A6C"/>
    <w:rsid w:val="2EBC2287"/>
    <w:rsid w:val="2EC3466D"/>
    <w:rsid w:val="2EC44440"/>
    <w:rsid w:val="2ECA3116"/>
    <w:rsid w:val="2EDD7896"/>
    <w:rsid w:val="2EEA6E65"/>
    <w:rsid w:val="2EF33C7C"/>
    <w:rsid w:val="2F00052B"/>
    <w:rsid w:val="2F0367CD"/>
    <w:rsid w:val="2F1251F2"/>
    <w:rsid w:val="2F2D445E"/>
    <w:rsid w:val="2F4B20A5"/>
    <w:rsid w:val="2F4F6FBB"/>
    <w:rsid w:val="2F5A00E5"/>
    <w:rsid w:val="2F664E2B"/>
    <w:rsid w:val="2F6C7BE3"/>
    <w:rsid w:val="2F783485"/>
    <w:rsid w:val="2F7A17CB"/>
    <w:rsid w:val="2F7A78AC"/>
    <w:rsid w:val="2F7F5C0B"/>
    <w:rsid w:val="2F895685"/>
    <w:rsid w:val="2F9A13B4"/>
    <w:rsid w:val="2FA6492D"/>
    <w:rsid w:val="2FC86676"/>
    <w:rsid w:val="2FD17A1B"/>
    <w:rsid w:val="2FD71CA4"/>
    <w:rsid w:val="2FDC432A"/>
    <w:rsid w:val="2FDC4A8D"/>
    <w:rsid w:val="2FE27109"/>
    <w:rsid w:val="2FEA743A"/>
    <w:rsid w:val="2FF24D11"/>
    <w:rsid w:val="2FF93066"/>
    <w:rsid w:val="301742B2"/>
    <w:rsid w:val="301A1509"/>
    <w:rsid w:val="301A71CE"/>
    <w:rsid w:val="301D63DD"/>
    <w:rsid w:val="301E049B"/>
    <w:rsid w:val="302A4BE6"/>
    <w:rsid w:val="304478EC"/>
    <w:rsid w:val="304E2AF2"/>
    <w:rsid w:val="304F4511"/>
    <w:rsid w:val="30515C8E"/>
    <w:rsid w:val="305823FF"/>
    <w:rsid w:val="30830761"/>
    <w:rsid w:val="30926F91"/>
    <w:rsid w:val="30962F3E"/>
    <w:rsid w:val="30A85733"/>
    <w:rsid w:val="30AA2585"/>
    <w:rsid w:val="30C16A19"/>
    <w:rsid w:val="30C262B6"/>
    <w:rsid w:val="30CB5800"/>
    <w:rsid w:val="30D32236"/>
    <w:rsid w:val="30DB6CFA"/>
    <w:rsid w:val="30E43E12"/>
    <w:rsid w:val="30E53B71"/>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206BF"/>
    <w:rsid w:val="317932EA"/>
    <w:rsid w:val="317E5000"/>
    <w:rsid w:val="31870868"/>
    <w:rsid w:val="31875BB4"/>
    <w:rsid w:val="31A9328B"/>
    <w:rsid w:val="31B718F2"/>
    <w:rsid w:val="31C57B88"/>
    <w:rsid w:val="31D20051"/>
    <w:rsid w:val="31E745D2"/>
    <w:rsid w:val="31EF7EE8"/>
    <w:rsid w:val="3201404F"/>
    <w:rsid w:val="320901F5"/>
    <w:rsid w:val="320B7CCB"/>
    <w:rsid w:val="32105DE8"/>
    <w:rsid w:val="322E2721"/>
    <w:rsid w:val="3235187E"/>
    <w:rsid w:val="3237186B"/>
    <w:rsid w:val="323B6798"/>
    <w:rsid w:val="32537B57"/>
    <w:rsid w:val="325779E7"/>
    <w:rsid w:val="325F618E"/>
    <w:rsid w:val="32757E99"/>
    <w:rsid w:val="327D43E5"/>
    <w:rsid w:val="32842CF3"/>
    <w:rsid w:val="328F2182"/>
    <w:rsid w:val="328F5534"/>
    <w:rsid w:val="329A6217"/>
    <w:rsid w:val="329A6ACE"/>
    <w:rsid w:val="329C2950"/>
    <w:rsid w:val="32A145CA"/>
    <w:rsid w:val="32A230DB"/>
    <w:rsid w:val="32B52836"/>
    <w:rsid w:val="32DF351E"/>
    <w:rsid w:val="32EE5E41"/>
    <w:rsid w:val="32F1510B"/>
    <w:rsid w:val="32F40F87"/>
    <w:rsid w:val="32F520B9"/>
    <w:rsid w:val="32FD7C76"/>
    <w:rsid w:val="330414AF"/>
    <w:rsid w:val="330C22FC"/>
    <w:rsid w:val="33231081"/>
    <w:rsid w:val="332A6617"/>
    <w:rsid w:val="33540E5D"/>
    <w:rsid w:val="335A0521"/>
    <w:rsid w:val="335D7182"/>
    <w:rsid w:val="335E7B11"/>
    <w:rsid w:val="3364318B"/>
    <w:rsid w:val="33691888"/>
    <w:rsid w:val="336A499A"/>
    <w:rsid w:val="33714830"/>
    <w:rsid w:val="33737F51"/>
    <w:rsid w:val="3375654F"/>
    <w:rsid w:val="337964FF"/>
    <w:rsid w:val="337D34FB"/>
    <w:rsid w:val="337E2DAF"/>
    <w:rsid w:val="33883435"/>
    <w:rsid w:val="33A47053"/>
    <w:rsid w:val="33AD5111"/>
    <w:rsid w:val="33BF4199"/>
    <w:rsid w:val="33CD23A8"/>
    <w:rsid w:val="33CD6498"/>
    <w:rsid w:val="33D7554F"/>
    <w:rsid w:val="33D825FA"/>
    <w:rsid w:val="33DB2AB1"/>
    <w:rsid w:val="33FE62E7"/>
    <w:rsid w:val="34080399"/>
    <w:rsid w:val="340D25F6"/>
    <w:rsid w:val="34161D6C"/>
    <w:rsid w:val="341E19AD"/>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5237E"/>
    <w:rsid w:val="3499657C"/>
    <w:rsid w:val="34A52713"/>
    <w:rsid w:val="34BD02AE"/>
    <w:rsid w:val="34BD32A6"/>
    <w:rsid w:val="34BE1B67"/>
    <w:rsid w:val="34C20DC7"/>
    <w:rsid w:val="34DA26A8"/>
    <w:rsid w:val="34DE2B9F"/>
    <w:rsid w:val="34DF0124"/>
    <w:rsid w:val="34E145D2"/>
    <w:rsid w:val="34E75EA5"/>
    <w:rsid w:val="34E960F1"/>
    <w:rsid w:val="34EE6187"/>
    <w:rsid w:val="350A65C4"/>
    <w:rsid w:val="350B42D5"/>
    <w:rsid w:val="350D1D4E"/>
    <w:rsid w:val="350F6258"/>
    <w:rsid w:val="351A603C"/>
    <w:rsid w:val="352821F6"/>
    <w:rsid w:val="3533698A"/>
    <w:rsid w:val="35387F19"/>
    <w:rsid w:val="3539550B"/>
    <w:rsid w:val="353C298A"/>
    <w:rsid w:val="354D5E0E"/>
    <w:rsid w:val="355D10E3"/>
    <w:rsid w:val="356150BC"/>
    <w:rsid w:val="356678B4"/>
    <w:rsid w:val="3573649F"/>
    <w:rsid w:val="357E4B0A"/>
    <w:rsid w:val="35866D7F"/>
    <w:rsid w:val="358F6BDF"/>
    <w:rsid w:val="35A440D7"/>
    <w:rsid w:val="35C06D50"/>
    <w:rsid w:val="35CD6F14"/>
    <w:rsid w:val="35D24294"/>
    <w:rsid w:val="35D71152"/>
    <w:rsid w:val="35DB0628"/>
    <w:rsid w:val="35F325E5"/>
    <w:rsid w:val="35F629BD"/>
    <w:rsid w:val="35FF6F3C"/>
    <w:rsid w:val="3600359A"/>
    <w:rsid w:val="36075F27"/>
    <w:rsid w:val="36121506"/>
    <w:rsid w:val="36180A4A"/>
    <w:rsid w:val="361D7A43"/>
    <w:rsid w:val="361E658D"/>
    <w:rsid w:val="361F3323"/>
    <w:rsid w:val="363019EB"/>
    <w:rsid w:val="36326D0C"/>
    <w:rsid w:val="36402EFA"/>
    <w:rsid w:val="36496A51"/>
    <w:rsid w:val="364F7CD0"/>
    <w:rsid w:val="36535FD0"/>
    <w:rsid w:val="365623F6"/>
    <w:rsid w:val="366B1251"/>
    <w:rsid w:val="366C7E67"/>
    <w:rsid w:val="368230C6"/>
    <w:rsid w:val="36843A03"/>
    <w:rsid w:val="368F7E4F"/>
    <w:rsid w:val="36985297"/>
    <w:rsid w:val="369F633B"/>
    <w:rsid w:val="36A30FDB"/>
    <w:rsid w:val="36A7007C"/>
    <w:rsid w:val="36B24AE8"/>
    <w:rsid w:val="36BD0DC4"/>
    <w:rsid w:val="36D51D00"/>
    <w:rsid w:val="36D66B5E"/>
    <w:rsid w:val="36D86634"/>
    <w:rsid w:val="36DE4AF9"/>
    <w:rsid w:val="36E410A4"/>
    <w:rsid w:val="36E93760"/>
    <w:rsid w:val="36F4550C"/>
    <w:rsid w:val="36FB4305"/>
    <w:rsid w:val="3708597F"/>
    <w:rsid w:val="3709624C"/>
    <w:rsid w:val="37096815"/>
    <w:rsid w:val="370F7060"/>
    <w:rsid w:val="37134801"/>
    <w:rsid w:val="37173233"/>
    <w:rsid w:val="371C344E"/>
    <w:rsid w:val="37226558"/>
    <w:rsid w:val="3734159D"/>
    <w:rsid w:val="37382526"/>
    <w:rsid w:val="373B4C89"/>
    <w:rsid w:val="374F25D9"/>
    <w:rsid w:val="37503E6C"/>
    <w:rsid w:val="3758590A"/>
    <w:rsid w:val="375E77B2"/>
    <w:rsid w:val="37602E60"/>
    <w:rsid w:val="37611796"/>
    <w:rsid w:val="37625C1C"/>
    <w:rsid w:val="377519F1"/>
    <w:rsid w:val="377B528D"/>
    <w:rsid w:val="377D206E"/>
    <w:rsid w:val="377D4DA8"/>
    <w:rsid w:val="378229A7"/>
    <w:rsid w:val="3784394E"/>
    <w:rsid w:val="37946975"/>
    <w:rsid w:val="37987437"/>
    <w:rsid w:val="379F33FC"/>
    <w:rsid w:val="37A432E4"/>
    <w:rsid w:val="37A86196"/>
    <w:rsid w:val="37C94031"/>
    <w:rsid w:val="37CA042E"/>
    <w:rsid w:val="37CA2635"/>
    <w:rsid w:val="37D44549"/>
    <w:rsid w:val="37D77B09"/>
    <w:rsid w:val="37D931A8"/>
    <w:rsid w:val="37D97EDE"/>
    <w:rsid w:val="37E76E34"/>
    <w:rsid w:val="37EA14D4"/>
    <w:rsid w:val="380632B2"/>
    <w:rsid w:val="380D02B1"/>
    <w:rsid w:val="38190834"/>
    <w:rsid w:val="381C3EB1"/>
    <w:rsid w:val="381E409C"/>
    <w:rsid w:val="382B1BDF"/>
    <w:rsid w:val="382E392C"/>
    <w:rsid w:val="38310B25"/>
    <w:rsid w:val="38325D99"/>
    <w:rsid w:val="38342E90"/>
    <w:rsid w:val="38451B7E"/>
    <w:rsid w:val="384B7332"/>
    <w:rsid w:val="384E20F8"/>
    <w:rsid w:val="385056AF"/>
    <w:rsid w:val="386A7142"/>
    <w:rsid w:val="386E0B2C"/>
    <w:rsid w:val="38706DCB"/>
    <w:rsid w:val="387E793E"/>
    <w:rsid w:val="388E5848"/>
    <w:rsid w:val="389E7B13"/>
    <w:rsid w:val="38A341A7"/>
    <w:rsid w:val="38AF6B7E"/>
    <w:rsid w:val="38BD240C"/>
    <w:rsid w:val="38BD31EE"/>
    <w:rsid w:val="38C05985"/>
    <w:rsid w:val="38C2629A"/>
    <w:rsid w:val="38CB3BDF"/>
    <w:rsid w:val="38CD22F1"/>
    <w:rsid w:val="38D33D29"/>
    <w:rsid w:val="38D41CCF"/>
    <w:rsid w:val="38E40A5B"/>
    <w:rsid w:val="38E51952"/>
    <w:rsid w:val="38F16A28"/>
    <w:rsid w:val="3913128B"/>
    <w:rsid w:val="391A3359"/>
    <w:rsid w:val="39285D57"/>
    <w:rsid w:val="39315D4D"/>
    <w:rsid w:val="394B6470"/>
    <w:rsid w:val="395C6EA8"/>
    <w:rsid w:val="39872512"/>
    <w:rsid w:val="39A602F9"/>
    <w:rsid w:val="39BD45C8"/>
    <w:rsid w:val="39C2316A"/>
    <w:rsid w:val="39F36281"/>
    <w:rsid w:val="39FD376D"/>
    <w:rsid w:val="39FD6C9C"/>
    <w:rsid w:val="39FF6B36"/>
    <w:rsid w:val="3A0224B9"/>
    <w:rsid w:val="3A0526B5"/>
    <w:rsid w:val="3A14011B"/>
    <w:rsid w:val="3A1509F4"/>
    <w:rsid w:val="3A16728B"/>
    <w:rsid w:val="3A16794C"/>
    <w:rsid w:val="3A1F6809"/>
    <w:rsid w:val="3A226969"/>
    <w:rsid w:val="3A3A2C04"/>
    <w:rsid w:val="3A3F47CE"/>
    <w:rsid w:val="3A410243"/>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D1A41"/>
    <w:rsid w:val="3B3E5BDD"/>
    <w:rsid w:val="3B552653"/>
    <w:rsid w:val="3B5A2A22"/>
    <w:rsid w:val="3B5D01C0"/>
    <w:rsid w:val="3B707794"/>
    <w:rsid w:val="3B7804A3"/>
    <w:rsid w:val="3B8E2153"/>
    <w:rsid w:val="3B9B2072"/>
    <w:rsid w:val="3BA03B83"/>
    <w:rsid w:val="3BA91F03"/>
    <w:rsid w:val="3BB16FA6"/>
    <w:rsid w:val="3BB17CE6"/>
    <w:rsid w:val="3BB20883"/>
    <w:rsid w:val="3BB448B0"/>
    <w:rsid w:val="3BC34E75"/>
    <w:rsid w:val="3BCB270F"/>
    <w:rsid w:val="3BD569C2"/>
    <w:rsid w:val="3BD96AA6"/>
    <w:rsid w:val="3BDB053C"/>
    <w:rsid w:val="3BED002E"/>
    <w:rsid w:val="3C0429BF"/>
    <w:rsid w:val="3C066389"/>
    <w:rsid w:val="3C0D66FC"/>
    <w:rsid w:val="3C120C48"/>
    <w:rsid w:val="3C1A201A"/>
    <w:rsid w:val="3C276807"/>
    <w:rsid w:val="3C306E2F"/>
    <w:rsid w:val="3C3274E5"/>
    <w:rsid w:val="3C371D4B"/>
    <w:rsid w:val="3C382561"/>
    <w:rsid w:val="3C3B4B9D"/>
    <w:rsid w:val="3C3F772B"/>
    <w:rsid w:val="3C413C82"/>
    <w:rsid w:val="3C471C36"/>
    <w:rsid w:val="3C4B0140"/>
    <w:rsid w:val="3C4D66ED"/>
    <w:rsid w:val="3C577D11"/>
    <w:rsid w:val="3C5A6B66"/>
    <w:rsid w:val="3C6472A5"/>
    <w:rsid w:val="3C734413"/>
    <w:rsid w:val="3C7A6E5A"/>
    <w:rsid w:val="3C8869CA"/>
    <w:rsid w:val="3C982C18"/>
    <w:rsid w:val="3CA734F8"/>
    <w:rsid w:val="3CA95F71"/>
    <w:rsid w:val="3CB33ABD"/>
    <w:rsid w:val="3CC16893"/>
    <w:rsid w:val="3CC74223"/>
    <w:rsid w:val="3CC828D0"/>
    <w:rsid w:val="3CCB43BE"/>
    <w:rsid w:val="3CDA6EE3"/>
    <w:rsid w:val="3CDB5F96"/>
    <w:rsid w:val="3CE23F49"/>
    <w:rsid w:val="3CE242F0"/>
    <w:rsid w:val="3CEA4F7F"/>
    <w:rsid w:val="3CEC39B8"/>
    <w:rsid w:val="3CF20887"/>
    <w:rsid w:val="3CF37919"/>
    <w:rsid w:val="3CF720E3"/>
    <w:rsid w:val="3CF72D6A"/>
    <w:rsid w:val="3CF86D06"/>
    <w:rsid w:val="3D00620E"/>
    <w:rsid w:val="3D035226"/>
    <w:rsid w:val="3D0E4AD7"/>
    <w:rsid w:val="3D31576C"/>
    <w:rsid w:val="3D316CDB"/>
    <w:rsid w:val="3D3768D2"/>
    <w:rsid w:val="3D3A3838"/>
    <w:rsid w:val="3D3D6BBD"/>
    <w:rsid w:val="3D404CC7"/>
    <w:rsid w:val="3D450F8C"/>
    <w:rsid w:val="3D477118"/>
    <w:rsid w:val="3D51285A"/>
    <w:rsid w:val="3D594E54"/>
    <w:rsid w:val="3D62706F"/>
    <w:rsid w:val="3D6E2272"/>
    <w:rsid w:val="3D7C727A"/>
    <w:rsid w:val="3D81786B"/>
    <w:rsid w:val="3D830417"/>
    <w:rsid w:val="3D877AC5"/>
    <w:rsid w:val="3D882D35"/>
    <w:rsid w:val="3D8D2848"/>
    <w:rsid w:val="3D94235D"/>
    <w:rsid w:val="3D9461E1"/>
    <w:rsid w:val="3DAF37B0"/>
    <w:rsid w:val="3DB34E86"/>
    <w:rsid w:val="3DB36BC6"/>
    <w:rsid w:val="3DB80A86"/>
    <w:rsid w:val="3DBE6A34"/>
    <w:rsid w:val="3DC00481"/>
    <w:rsid w:val="3DDA3E19"/>
    <w:rsid w:val="3DED0F96"/>
    <w:rsid w:val="3DF130D5"/>
    <w:rsid w:val="3DF95812"/>
    <w:rsid w:val="3E0040D9"/>
    <w:rsid w:val="3E1328D6"/>
    <w:rsid w:val="3E1B7668"/>
    <w:rsid w:val="3E1C6544"/>
    <w:rsid w:val="3E1D4B24"/>
    <w:rsid w:val="3E2A7B0A"/>
    <w:rsid w:val="3E314520"/>
    <w:rsid w:val="3E3A04FA"/>
    <w:rsid w:val="3E3D6B96"/>
    <w:rsid w:val="3E3F202E"/>
    <w:rsid w:val="3E441C7D"/>
    <w:rsid w:val="3E490256"/>
    <w:rsid w:val="3E4C2EC5"/>
    <w:rsid w:val="3E55739E"/>
    <w:rsid w:val="3E6C43C8"/>
    <w:rsid w:val="3E8227F0"/>
    <w:rsid w:val="3E937F82"/>
    <w:rsid w:val="3E9B4B40"/>
    <w:rsid w:val="3EB71AC8"/>
    <w:rsid w:val="3EC85E34"/>
    <w:rsid w:val="3ECF2AAC"/>
    <w:rsid w:val="3ED0424C"/>
    <w:rsid w:val="3ED07B7E"/>
    <w:rsid w:val="3EF31E7F"/>
    <w:rsid w:val="3EF36DF0"/>
    <w:rsid w:val="3F035EE1"/>
    <w:rsid w:val="3F053EF6"/>
    <w:rsid w:val="3F093188"/>
    <w:rsid w:val="3F0C1E13"/>
    <w:rsid w:val="3F173F6B"/>
    <w:rsid w:val="3F1E1DE8"/>
    <w:rsid w:val="3F253B0C"/>
    <w:rsid w:val="3F2853A7"/>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C5F31"/>
    <w:rsid w:val="3FE04625"/>
    <w:rsid w:val="3FE86CE8"/>
    <w:rsid w:val="3FEF3DCD"/>
    <w:rsid w:val="3FF148F7"/>
    <w:rsid w:val="3FFB0F66"/>
    <w:rsid w:val="40022F93"/>
    <w:rsid w:val="400E6DDA"/>
    <w:rsid w:val="40146E6B"/>
    <w:rsid w:val="40225B50"/>
    <w:rsid w:val="403052F1"/>
    <w:rsid w:val="40330D29"/>
    <w:rsid w:val="404469FD"/>
    <w:rsid w:val="404A2717"/>
    <w:rsid w:val="404E779F"/>
    <w:rsid w:val="4059090D"/>
    <w:rsid w:val="4065170A"/>
    <w:rsid w:val="40687776"/>
    <w:rsid w:val="406966BC"/>
    <w:rsid w:val="406C4DFB"/>
    <w:rsid w:val="406E5CAB"/>
    <w:rsid w:val="40713C35"/>
    <w:rsid w:val="40823B87"/>
    <w:rsid w:val="408355D6"/>
    <w:rsid w:val="408376F8"/>
    <w:rsid w:val="40A163F1"/>
    <w:rsid w:val="40A25054"/>
    <w:rsid w:val="40A325E0"/>
    <w:rsid w:val="40AE30AC"/>
    <w:rsid w:val="40AE7A15"/>
    <w:rsid w:val="40B41AE2"/>
    <w:rsid w:val="40B7228C"/>
    <w:rsid w:val="40BD0DA1"/>
    <w:rsid w:val="40EC7D18"/>
    <w:rsid w:val="40ED11A0"/>
    <w:rsid w:val="40F92E97"/>
    <w:rsid w:val="40FD1BF0"/>
    <w:rsid w:val="41015E92"/>
    <w:rsid w:val="41096BC0"/>
    <w:rsid w:val="410A75B6"/>
    <w:rsid w:val="410B452A"/>
    <w:rsid w:val="41146D26"/>
    <w:rsid w:val="411B6EDC"/>
    <w:rsid w:val="413353F1"/>
    <w:rsid w:val="414C0B0E"/>
    <w:rsid w:val="414D35F5"/>
    <w:rsid w:val="41513BC9"/>
    <w:rsid w:val="41735B7F"/>
    <w:rsid w:val="419302E2"/>
    <w:rsid w:val="419E558F"/>
    <w:rsid w:val="419E60D3"/>
    <w:rsid w:val="41A25332"/>
    <w:rsid w:val="41A339F5"/>
    <w:rsid w:val="41A36C7E"/>
    <w:rsid w:val="41AA4A84"/>
    <w:rsid w:val="41AF06D0"/>
    <w:rsid w:val="41C45B38"/>
    <w:rsid w:val="41C93F6C"/>
    <w:rsid w:val="41D5139D"/>
    <w:rsid w:val="41D75714"/>
    <w:rsid w:val="41DD3BC3"/>
    <w:rsid w:val="41E535F4"/>
    <w:rsid w:val="41EE2F03"/>
    <w:rsid w:val="41F466FD"/>
    <w:rsid w:val="42002BC7"/>
    <w:rsid w:val="42026B03"/>
    <w:rsid w:val="420C60D5"/>
    <w:rsid w:val="420D197F"/>
    <w:rsid w:val="42130DE5"/>
    <w:rsid w:val="42187EBE"/>
    <w:rsid w:val="42201DD7"/>
    <w:rsid w:val="42240D3F"/>
    <w:rsid w:val="42273D8C"/>
    <w:rsid w:val="4227435A"/>
    <w:rsid w:val="424154E1"/>
    <w:rsid w:val="42494A4D"/>
    <w:rsid w:val="424B5824"/>
    <w:rsid w:val="42616DD3"/>
    <w:rsid w:val="426973AD"/>
    <w:rsid w:val="426F56CA"/>
    <w:rsid w:val="42702D0D"/>
    <w:rsid w:val="427A67A1"/>
    <w:rsid w:val="427E0B36"/>
    <w:rsid w:val="429F2355"/>
    <w:rsid w:val="42A03D98"/>
    <w:rsid w:val="42A729F1"/>
    <w:rsid w:val="42B94BC1"/>
    <w:rsid w:val="42BE4DAE"/>
    <w:rsid w:val="42BF61B0"/>
    <w:rsid w:val="42C30254"/>
    <w:rsid w:val="42C42A08"/>
    <w:rsid w:val="42D064B1"/>
    <w:rsid w:val="42D41F6D"/>
    <w:rsid w:val="42DE48A3"/>
    <w:rsid w:val="42E16058"/>
    <w:rsid w:val="42F17BF5"/>
    <w:rsid w:val="42F87EC9"/>
    <w:rsid w:val="42FA45BF"/>
    <w:rsid w:val="430E7E66"/>
    <w:rsid w:val="431C44AA"/>
    <w:rsid w:val="43296963"/>
    <w:rsid w:val="4332317A"/>
    <w:rsid w:val="433246A0"/>
    <w:rsid w:val="433E7EE2"/>
    <w:rsid w:val="433F6B54"/>
    <w:rsid w:val="43424AD7"/>
    <w:rsid w:val="4346543A"/>
    <w:rsid w:val="43533E29"/>
    <w:rsid w:val="43561E16"/>
    <w:rsid w:val="435B1259"/>
    <w:rsid w:val="436263D5"/>
    <w:rsid w:val="437556C4"/>
    <w:rsid w:val="43874CD4"/>
    <w:rsid w:val="439B699F"/>
    <w:rsid w:val="439D3E18"/>
    <w:rsid w:val="439F1200"/>
    <w:rsid w:val="43AE320F"/>
    <w:rsid w:val="43AF2D32"/>
    <w:rsid w:val="43B13512"/>
    <w:rsid w:val="43B76E4F"/>
    <w:rsid w:val="43CF0206"/>
    <w:rsid w:val="43D50BA1"/>
    <w:rsid w:val="43D85D6D"/>
    <w:rsid w:val="43EC6F1F"/>
    <w:rsid w:val="43F124F2"/>
    <w:rsid w:val="43FE44BA"/>
    <w:rsid w:val="43FE63A7"/>
    <w:rsid w:val="440656C2"/>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323D4"/>
    <w:rsid w:val="44957F46"/>
    <w:rsid w:val="44994CF5"/>
    <w:rsid w:val="44AF6578"/>
    <w:rsid w:val="44B463D5"/>
    <w:rsid w:val="44C17003"/>
    <w:rsid w:val="44C90753"/>
    <w:rsid w:val="44D649CF"/>
    <w:rsid w:val="44DC46EB"/>
    <w:rsid w:val="44EA6491"/>
    <w:rsid w:val="44F03F8F"/>
    <w:rsid w:val="44F14ECF"/>
    <w:rsid w:val="45042FB1"/>
    <w:rsid w:val="45162B93"/>
    <w:rsid w:val="45234E43"/>
    <w:rsid w:val="45275172"/>
    <w:rsid w:val="452F5B3A"/>
    <w:rsid w:val="45332511"/>
    <w:rsid w:val="45370B65"/>
    <w:rsid w:val="453F44DA"/>
    <w:rsid w:val="45412C46"/>
    <w:rsid w:val="454D3110"/>
    <w:rsid w:val="45514AD5"/>
    <w:rsid w:val="4552412E"/>
    <w:rsid w:val="45570907"/>
    <w:rsid w:val="455908C0"/>
    <w:rsid w:val="455933A5"/>
    <w:rsid w:val="45743BE6"/>
    <w:rsid w:val="4575513B"/>
    <w:rsid w:val="45761EDD"/>
    <w:rsid w:val="457A7286"/>
    <w:rsid w:val="457B06AA"/>
    <w:rsid w:val="457C7D39"/>
    <w:rsid w:val="458667C4"/>
    <w:rsid w:val="458F5163"/>
    <w:rsid w:val="45934E4A"/>
    <w:rsid w:val="459405E3"/>
    <w:rsid w:val="459C5A47"/>
    <w:rsid w:val="45A82F38"/>
    <w:rsid w:val="45B047D1"/>
    <w:rsid w:val="45B77545"/>
    <w:rsid w:val="45BE610C"/>
    <w:rsid w:val="45BE6191"/>
    <w:rsid w:val="45BE648C"/>
    <w:rsid w:val="45C661BC"/>
    <w:rsid w:val="45CA082F"/>
    <w:rsid w:val="45CD2126"/>
    <w:rsid w:val="45CF358A"/>
    <w:rsid w:val="45DD738A"/>
    <w:rsid w:val="45E372CD"/>
    <w:rsid w:val="45FB2D6A"/>
    <w:rsid w:val="460C5979"/>
    <w:rsid w:val="46110AB3"/>
    <w:rsid w:val="46143B66"/>
    <w:rsid w:val="4615371C"/>
    <w:rsid w:val="46214325"/>
    <w:rsid w:val="4626398E"/>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9E47A2"/>
    <w:rsid w:val="46AB0067"/>
    <w:rsid w:val="46AD2069"/>
    <w:rsid w:val="46B80AF8"/>
    <w:rsid w:val="46D37F0B"/>
    <w:rsid w:val="46D6030E"/>
    <w:rsid w:val="46D71533"/>
    <w:rsid w:val="46E53335"/>
    <w:rsid w:val="46E544E3"/>
    <w:rsid w:val="46E87DBA"/>
    <w:rsid w:val="46EE15F6"/>
    <w:rsid w:val="46EE2CC7"/>
    <w:rsid w:val="46FA7468"/>
    <w:rsid w:val="470F7B86"/>
    <w:rsid w:val="47155D89"/>
    <w:rsid w:val="473069AF"/>
    <w:rsid w:val="47356ECD"/>
    <w:rsid w:val="474A0EAF"/>
    <w:rsid w:val="474E50BE"/>
    <w:rsid w:val="47523FA0"/>
    <w:rsid w:val="476700F2"/>
    <w:rsid w:val="47696F9C"/>
    <w:rsid w:val="47714F1F"/>
    <w:rsid w:val="47725A17"/>
    <w:rsid w:val="477D3243"/>
    <w:rsid w:val="478821A1"/>
    <w:rsid w:val="479128A9"/>
    <w:rsid w:val="47956820"/>
    <w:rsid w:val="47975EDC"/>
    <w:rsid w:val="47983B19"/>
    <w:rsid w:val="479E2C8A"/>
    <w:rsid w:val="47A3609D"/>
    <w:rsid w:val="47C01792"/>
    <w:rsid w:val="47C57A48"/>
    <w:rsid w:val="47D511BD"/>
    <w:rsid w:val="4808150F"/>
    <w:rsid w:val="480F51A8"/>
    <w:rsid w:val="481604F9"/>
    <w:rsid w:val="481A006F"/>
    <w:rsid w:val="48256B1B"/>
    <w:rsid w:val="48282713"/>
    <w:rsid w:val="482A6E62"/>
    <w:rsid w:val="482F2437"/>
    <w:rsid w:val="484417FA"/>
    <w:rsid w:val="48450ECE"/>
    <w:rsid w:val="484759CD"/>
    <w:rsid w:val="484B14EC"/>
    <w:rsid w:val="48602710"/>
    <w:rsid w:val="48713351"/>
    <w:rsid w:val="48725C43"/>
    <w:rsid w:val="48802846"/>
    <w:rsid w:val="488260F9"/>
    <w:rsid w:val="48850157"/>
    <w:rsid w:val="48A4573B"/>
    <w:rsid w:val="48A71C34"/>
    <w:rsid w:val="48A736CF"/>
    <w:rsid w:val="48B116EA"/>
    <w:rsid w:val="48B74C7A"/>
    <w:rsid w:val="48B95FE2"/>
    <w:rsid w:val="48BE32BF"/>
    <w:rsid w:val="48C354EC"/>
    <w:rsid w:val="48D429DD"/>
    <w:rsid w:val="48E01C77"/>
    <w:rsid w:val="48E22285"/>
    <w:rsid w:val="48E50D90"/>
    <w:rsid w:val="48EB0B49"/>
    <w:rsid w:val="48EB0D16"/>
    <w:rsid w:val="48FA15CC"/>
    <w:rsid w:val="48FF0DD1"/>
    <w:rsid w:val="490F071A"/>
    <w:rsid w:val="491B63DF"/>
    <w:rsid w:val="491D63E9"/>
    <w:rsid w:val="49247EB1"/>
    <w:rsid w:val="4932285C"/>
    <w:rsid w:val="49331971"/>
    <w:rsid w:val="49384E02"/>
    <w:rsid w:val="493E2F78"/>
    <w:rsid w:val="493F3A9E"/>
    <w:rsid w:val="495217DF"/>
    <w:rsid w:val="49547ADD"/>
    <w:rsid w:val="4958367A"/>
    <w:rsid w:val="4960425F"/>
    <w:rsid w:val="498A16CD"/>
    <w:rsid w:val="498A7FB5"/>
    <w:rsid w:val="499145D9"/>
    <w:rsid w:val="49A33C27"/>
    <w:rsid w:val="49A750B5"/>
    <w:rsid w:val="49B93B41"/>
    <w:rsid w:val="49BE07DA"/>
    <w:rsid w:val="49C32414"/>
    <w:rsid w:val="49C84AA0"/>
    <w:rsid w:val="49CA7400"/>
    <w:rsid w:val="49CC2C0E"/>
    <w:rsid w:val="49D7694D"/>
    <w:rsid w:val="49D87799"/>
    <w:rsid w:val="49F400AC"/>
    <w:rsid w:val="49F9104E"/>
    <w:rsid w:val="4A0244D3"/>
    <w:rsid w:val="4A255046"/>
    <w:rsid w:val="4A2E1525"/>
    <w:rsid w:val="4A5A756D"/>
    <w:rsid w:val="4A722B4C"/>
    <w:rsid w:val="4A785772"/>
    <w:rsid w:val="4A7A7433"/>
    <w:rsid w:val="4A842E43"/>
    <w:rsid w:val="4A886D1D"/>
    <w:rsid w:val="4A89105B"/>
    <w:rsid w:val="4A955EEB"/>
    <w:rsid w:val="4AA341CC"/>
    <w:rsid w:val="4AC13295"/>
    <w:rsid w:val="4AC31003"/>
    <w:rsid w:val="4AC40F4C"/>
    <w:rsid w:val="4AC91D29"/>
    <w:rsid w:val="4AD25F33"/>
    <w:rsid w:val="4AD763B8"/>
    <w:rsid w:val="4ADD641F"/>
    <w:rsid w:val="4AE072CB"/>
    <w:rsid w:val="4AE93159"/>
    <w:rsid w:val="4AED65F4"/>
    <w:rsid w:val="4AF02EA1"/>
    <w:rsid w:val="4B0428AF"/>
    <w:rsid w:val="4B174032"/>
    <w:rsid w:val="4B1D7328"/>
    <w:rsid w:val="4B250CF8"/>
    <w:rsid w:val="4B2873FD"/>
    <w:rsid w:val="4B3D4DE9"/>
    <w:rsid w:val="4B59618C"/>
    <w:rsid w:val="4B5B2C7E"/>
    <w:rsid w:val="4B6A74A5"/>
    <w:rsid w:val="4B6F1D56"/>
    <w:rsid w:val="4B7C4100"/>
    <w:rsid w:val="4B830F9B"/>
    <w:rsid w:val="4B8F2DD0"/>
    <w:rsid w:val="4B9B06E8"/>
    <w:rsid w:val="4B9B0C47"/>
    <w:rsid w:val="4B9D4011"/>
    <w:rsid w:val="4BA34CD3"/>
    <w:rsid w:val="4BB36BDD"/>
    <w:rsid w:val="4BB60507"/>
    <w:rsid w:val="4BC32290"/>
    <w:rsid w:val="4BC64C9C"/>
    <w:rsid w:val="4BD0339A"/>
    <w:rsid w:val="4BF32495"/>
    <w:rsid w:val="4BFA131A"/>
    <w:rsid w:val="4BFA3FA2"/>
    <w:rsid w:val="4C172533"/>
    <w:rsid w:val="4C1905D9"/>
    <w:rsid w:val="4C2910DF"/>
    <w:rsid w:val="4C2B4DDD"/>
    <w:rsid w:val="4C312198"/>
    <w:rsid w:val="4C336177"/>
    <w:rsid w:val="4C471A55"/>
    <w:rsid w:val="4C562920"/>
    <w:rsid w:val="4C5D1F92"/>
    <w:rsid w:val="4C603F16"/>
    <w:rsid w:val="4C6262E0"/>
    <w:rsid w:val="4C6703A3"/>
    <w:rsid w:val="4C6D7518"/>
    <w:rsid w:val="4C8C1682"/>
    <w:rsid w:val="4C923A72"/>
    <w:rsid w:val="4CA8746E"/>
    <w:rsid w:val="4CAB3057"/>
    <w:rsid w:val="4CB531CC"/>
    <w:rsid w:val="4CB80C32"/>
    <w:rsid w:val="4CB96B0F"/>
    <w:rsid w:val="4CBD582C"/>
    <w:rsid w:val="4CC21369"/>
    <w:rsid w:val="4CD1735E"/>
    <w:rsid w:val="4CE34E9F"/>
    <w:rsid w:val="4CF52D94"/>
    <w:rsid w:val="4D075911"/>
    <w:rsid w:val="4D0C6B0F"/>
    <w:rsid w:val="4D1216BD"/>
    <w:rsid w:val="4D231A3E"/>
    <w:rsid w:val="4D2822A5"/>
    <w:rsid w:val="4D3C254D"/>
    <w:rsid w:val="4D4001E4"/>
    <w:rsid w:val="4D462159"/>
    <w:rsid w:val="4D47409F"/>
    <w:rsid w:val="4D525BE3"/>
    <w:rsid w:val="4D566017"/>
    <w:rsid w:val="4D6022FC"/>
    <w:rsid w:val="4D6748C7"/>
    <w:rsid w:val="4D7D3EFB"/>
    <w:rsid w:val="4D883EF9"/>
    <w:rsid w:val="4D8B0123"/>
    <w:rsid w:val="4D907392"/>
    <w:rsid w:val="4D940DD6"/>
    <w:rsid w:val="4DAF14C5"/>
    <w:rsid w:val="4DB9067A"/>
    <w:rsid w:val="4DC605B6"/>
    <w:rsid w:val="4DD51840"/>
    <w:rsid w:val="4DD732D2"/>
    <w:rsid w:val="4DEC0985"/>
    <w:rsid w:val="4E000105"/>
    <w:rsid w:val="4E0538A3"/>
    <w:rsid w:val="4E0E6818"/>
    <w:rsid w:val="4E27683A"/>
    <w:rsid w:val="4E321D35"/>
    <w:rsid w:val="4E397241"/>
    <w:rsid w:val="4E3C1DE4"/>
    <w:rsid w:val="4E464E00"/>
    <w:rsid w:val="4E4B2E60"/>
    <w:rsid w:val="4E4C50A3"/>
    <w:rsid w:val="4E510698"/>
    <w:rsid w:val="4E576363"/>
    <w:rsid w:val="4E59789B"/>
    <w:rsid w:val="4E5D49B1"/>
    <w:rsid w:val="4E635567"/>
    <w:rsid w:val="4E674786"/>
    <w:rsid w:val="4E6D0F25"/>
    <w:rsid w:val="4E6F309C"/>
    <w:rsid w:val="4E710F05"/>
    <w:rsid w:val="4E742982"/>
    <w:rsid w:val="4E754F1B"/>
    <w:rsid w:val="4E7F1E8F"/>
    <w:rsid w:val="4E862481"/>
    <w:rsid w:val="4E8C4141"/>
    <w:rsid w:val="4E901714"/>
    <w:rsid w:val="4E93511F"/>
    <w:rsid w:val="4E9C0636"/>
    <w:rsid w:val="4E9D29FB"/>
    <w:rsid w:val="4EA30DB6"/>
    <w:rsid w:val="4EA7341F"/>
    <w:rsid w:val="4EB35A3D"/>
    <w:rsid w:val="4ECD2AFD"/>
    <w:rsid w:val="4EDB58B2"/>
    <w:rsid w:val="4EE925CE"/>
    <w:rsid w:val="4EEB1A94"/>
    <w:rsid w:val="4EEF2E30"/>
    <w:rsid w:val="4EF24828"/>
    <w:rsid w:val="4EFE7F59"/>
    <w:rsid w:val="4F0557AF"/>
    <w:rsid w:val="4F285975"/>
    <w:rsid w:val="4F2A7BF3"/>
    <w:rsid w:val="4F2E2624"/>
    <w:rsid w:val="4F4E1077"/>
    <w:rsid w:val="4F546156"/>
    <w:rsid w:val="4F5B6F39"/>
    <w:rsid w:val="4F64780B"/>
    <w:rsid w:val="4F844A99"/>
    <w:rsid w:val="4F94662C"/>
    <w:rsid w:val="4FAB774E"/>
    <w:rsid w:val="4FB00163"/>
    <w:rsid w:val="4FB208E7"/>
    <w:rsid w:val="4FE30332"/>
    <w:rsid w:val="4FE70BB4"/>
    <w:rsid w:val="4FE73C01"/>
    <w:rsid w:val="4FE76D51"/>
    <w:rsid w:val="4FE87C31"/>
    <w:rsid w:val="4FF03F98"/>
    <w:rsid w:val="4FF14DCF"/>
    <w:rsid w:val="50062EF6"/>
    <w:rsid w:val="5008113B"/>
    <w:rsid w:val="500815B6"/>
    <w:rsid w:val="500A7223"/>
    <w:rsid w:val="500B39BC"/>
    <w:rsid w:val="500C204A"/>
    <w:rsid w:val="501502DD"/>
    <w:rsid w:val="501A2172"/>
    <w:rsid w:val="502173F8"/>
    <w:rsid w:val="5022123F"/>
    <w:rsid w:val="502B7315"/>
    <w:rsid w:val="503E570B"/>
    <w:rsid w:val="503F32CF"/>
    <w:rsid w:val="503F62FD"/>
    <w:rsid w:val="5041152A"/>
    <w:rsid w:val="504A1A7A"/>
    <w:rsid w:val="504C77D2"/>
    <w:rsid w:val="50560460"/>
    <w:rsid w:val="50601A5C"/>
    <w:rsid w:val="507055F2"/>
    <w:rsid w:val="507E1B25"/>
    <w:rsid w:val="508E3B94"/>
    <w:rsid w:val="508E4492"/>
    <w:rsid w:val="5090223F"/>
    <w:rsid w:val="50924591"/>
    <w:rsid w:val="50A578DE"/>
    <w:rsid w:val="50A649F5"/>
    <w:rsid w:val="50AB5EB6"/>
    <w:rsid w:val="50AE6FE2"/>
    <w:rsid w:val="50B16618"/>
    <w:rsid w:val="50BB6306"/>
    <w:rsid w:val="50C12EDC"/>
    <w:rsid w:val="50CD2E4B"/>
    <w:rsid w:val="50DA0A9E"/>
    <w:rsid w:val="50ED21B8"/>
    <w:rsid w:val="50F31CB9"/>
    <w:rsid w:val="50F66F3D"/>
    <w:rsid w:val="50F8688B"/>
    <w:rsid w:val="50FC4E36"/>
    <w:rsid w:val="51002FFC"/>
    <w:rsid w:val="5105169B"/>
    <w:rsid w:val="51062881"/>
    <w:rsid w:val="510861B3"/>
    <w:rsid w:val="510956BD"/>
    <w:rsid w:val="5114696C"/>
    <w:rsid w:val="5121766A"/>
    <w:rsid w:val="51230220"/>
    <w:rsid w:val="513F6CC6"/>
    <w:rsid w:val="51471753"/>
    <w:rsid w:val="514E4912"/>
    <w:rsid w:val="51510FA1"/>
    <w:rsid w:val="515400FF"/>
    <w:rsid w:val="515441FE"/>
    <w:rsid w:val="515D735D"/>
    <w:rsid w:val="5161556E"/>
    <w:rsid w:val="51631E12"/>
    <w:rsid w:val="516A5418"/>
    <w:rsid w:val="516F4764"/>
    <w:rsid w:val="51781A83"/>
    <w:rsid w:val="51867298"/>
    <w:rsid w:val="51894D69"/>
    <w:rsid w:val="518D21E1"/>
    <w:rsid w:val="518E6224"/>
    <w:rsid w:val="51930297"/>
    <w:rsid w:val="51953936"/>
    <w:rsid w:val="519E116A"/>
    <w:rsid w:val="51A2793A"/>
    <w:rsid w:val="51B71820"/>
    <w:rsid w:val="51BA0CB7"/>
    <w:rsid w:val="51CA4619"/>
    <w:rsid w:val="51D129CA"/>
    <w:rsid w:val="51D75253"/>
    <w:rsid w:val="51D93F8A"/>
    <w:rsid w:val="51E5046A"/>
    <w:rsid w:val="51F6353C"/>
    <w:rsid w:val="520D7B42"/>
    <w:rsid w:val="52175F05"/>
    <w:rsid w:val="52272B85"/>
    <w:rsid w:val="52284E31"/>
    <w:rsid w:val="522A5519"/>
    <w:rsid w:val="522E2CD6"/>
    <w:rsid w:val="523E09B5"/>
    <w:rsid w:val="524053B4"/>
    <w:rsid w:val="52431715"/>
    <w:rsid w:val="52687B2A"/>
    <w:rsid w:val="526E0E82"/>
    <w:rsid w:val="527901C6"/>
    <w:rsid w:val="528241AF"/>
    <w:rsid w:val="52831D64"/>
    <w:rsid w:val="528F4A24"/>
    <w:rsid w:val="52944BB6"/>
    <w:rsid w:val="529C012B"/>
    <w:rsid w:val="52A24532"/>
    <w:rsid w:val="52A611A1"/>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C3F9F"/>
    <w:rsid w:val="532F77EA"/>
    <w:rsid w:val="53367575"/>
    <w:rsid w:val="533933AA"/>
    <w:rsid w:val="533B7F54"/>
    <w:rsid w:val="533D2D66"/>
    <w:rsid w:val="535009E1"/>
    <w:rsid w:val="53504048"/>
    <w:rsid w:val="53650168"/>
    <w:rsid w:val="53665DA9"/>
    <w:rsid w:val="536C2A29"/>
    <w:rsid w:val="536E571F"/>
    <w:rsid w:val="538859E4"/>
    <w:rsid w:val="538E3092"/>
    <w:rsid w:val="53902F6B"/>
    <w:rsid w:val="539F394B"/>
    <w:rsid w:val="53A20FFA"/>
    <w:rsid w:val="53A233E4"/>
    <w:rsid w:val="53A63AE8"/>
    <w:rsid w:val="53A94C48"/>
    <w:rsid w:val="53AA7BC7"/>
    <w:rsid w:val="53AE5EA5"/>
    <w:rsid w:val="53B00B1F"/>
    <w:rsid w:val="53B2409D"/>
    <w:rsid w:val="53B31E73"/>
    <w:rsid w:val="53BF4252"/>
    <w:rsid w:val="53D5647F"/>
    <w:rsid w:val="53D6247A"/>
    <w:rsid w:val="53DB3477"/>
    <w:rsid w:val="53DE00FF"/>
    <w:rsid w:val="53E656AF"/>
    <w:rsid w:val="53E77CBF"/>
    <w:rsid w:val="53FE7128"/>
    <w:rsid w:val="54201800"/>
    <w:rsid w:val="54247F22"/>
    <w:rsid w:val="5427150F"/>
    <w:rsid w:val="542B1B24"/>
    <w:rsid w:val="542B76D0"/>
    <w:rsid w:val="542C29CD"/>
    <w:rsid w:val="542F1551"/>
    <w:rsid w:val="54381756"/>
    <w:rsid w:val="545750B7"/>
    <w:rsid w:val="545A1EBF"/>
    <w:rsid w:val="545E39AA"/>
    <w:rsid w:val="54602EAD"/>
    <w:rsid w:val="5460437B"/>
    <w:rsid w:val="54727478"/>
    <w:rsid w:val="54B06F11"/>
    <w:rsid w:val="54B56DF4"/>
    <w:rsid w:val="54B93943"/>
    <w:rsid w:val="54BE5578"/>
    <w:rsid w:val="54BF52B5"/>
    <w:rsid w:val="54D202CA"/>
    <w:rsid w:val="54D54E59"/>
    <w:rsid w:val="54DD41DB"/>
    <w:rsid w:val="54ED3D78"/>
    <w:rsid w:val="54F52BA3"/>
    <w:rsid w:val="54F54E04"/>
    <w:rsid w:val="550B4121"/>
    <w:rsid w:val="550D5CFC"/>
    <w:rsid w:val="550F3357"/>
    <w:rsid w:val="55126CC5"/>
    <w:rsid w:val="55197997"/>
    <w:rsid w:val="551A4479"/>
    <w:rsid w:val="551B7F0A"/>
    <w:rsid w:val="552A6B56"/>
    <w:rsid w:val="55314F13"/>
    <w:rsid w:val="5532385A"/>
    <w:rsid w:val="55381D42"/>
    <w:rsid w:val="55401B14"/>
    <w:rsid w:val="554748F2"/>
    <w:rsid w:val="554D414C"/>
    <w:rsid w:val="554E7279"/>
    <w:rsid w:val="55594FFB"/>
    <w:rsid w:val="55637CEB"/>
    <w:rsid w:val="55677DDA"/>
    <w:rsid w:val="55757FB9"/>
    <w:rsid w:val="55884237"/>
    <w:rsid w:val="558B1E31"/>
    <w:rsid w:val="558C7FAA"/>
    <w:rsid w:val="55900510"/>
    <w:rsid w:val="55947881"/>
    <w:rsid w:val="55A25EB7"/>
    <w:rsid w:val="55A82784"/>
    <w:rsid w:val="55A97512"/>
    <w:rsid w:val="55B63FD5"/>
    <w:rsid w:val="55C35A76"/>
    <w:rsid w:val="55D40743"/>
    <w:rsid w:val="55DD6F2A"/>
    <w:rsid w:val="55E73480"/>
    <w:rsid w:val="55E8339E"/>
    <w:rsid w:val="55F06771"/>
    <w:rsid w:val="560C022B"/>
    <w:rsid w:val="560D5F48"/>
    <w:rsid w:val="56106284"/>
    <w:rsid w:val="56182852"/>
    <w:rsid w:val="5632642A"/>
    <w:rsid w:val="56375B61"/>
    <w:rsid w:val="564944F4"/>
    <w:rsid w:val="564E5820"/>
    <w:rsid w:val="565104C5"/>
    <w:rsid w:val="56630C00"/>
    <w:rsid w:val="56721038"/>
    <w:rsid w:val="567739D2"/>
    <w:rsid w:val="56775A0A"/>
    <w:rsid w:val="5686536D"/>
    <w:rsid w:val="568B1DB1"/>
    <w:rsid w:val="56A55214"/>
    <w:rsid w:val="56A67978"/>
    <w:rsid w:val="56AC63C5"/>
    <w:rsid w:val="56C1700B"/>
    <w:rsid w:val="56C56513"/>
    <w:rsid w:val="56CF48FB"/>
    <w:rsid w:val="56D25618"/>
    <w:rsid w:val="56D5675C"/>
    <w:rsid w:val="56D7644B"/>
    <w:rsid w:val="56E373D5"/>
    <w:rsid w:val="56E81FA0"/>
    <w:rsid w:val="56E84A97"/>
    <w:rsid w:val="56F05010"/>
    <w:rsid w:val="56FB2A68"/>
    <w:rsid w:val="57011F3E"/>
    <w:rsid w:val="57050D7B"/>
    <w:rsid w:val="5705646B"/>
    <w:rsid w:val="57060649"/>
    <w:rsid w:val="572657E3"/>
    <w:rsid w:val="5732705F"/>
    <w:rsid w:val="57351D6F"/>
    <w:rsid w:val="573B7F99"/>
    <w:rsid w:val="576476C1"/>
    <w:rsid w:val="576E1940"/>
    <w:rsid w:val="57756BF9"/>
    <w:rsid w:val="57770501"/>
    <w:rsid w:val="577B3337"/>
    <w:rsid w:val="577D4F28"/>
    <w:rsid w:val="57A33734"/>
    <w:rsid w:val="57AB6ADD"/>
    <w:rsid w:val="57B7178E"/>
    <w:rsid w:val="57B76EED"/>
    <w:rsid w:val="57BD72A7"/>
    <w:rsid w:val="57BE5838"/>
    <w:rsid w:val="57BF764E"/>
    <w:rsid w:val="57CB35DF"/>
    <w:rsid w:val="57D82354"/>
    <w:rsid w:val="57FC07D9"/>
    <w:rsid w:val="57FF6992"/>
    <w:rsid w:val="58036FF1"/>
    <w:rsid w:val="580F1B21"/>
    <w:rsid w:val="581B7E79"/>
    <w:rsid w:val="5837438C"/>
    <w:rsid w:val="58420FA1"/>
    <w:rsid w:val="58500F22"/>
    <w:rsid w:val="58587379"/>
    <w:rsid w:val="585D72B5"/>
    <w:rsid w:val="586D57A3"/>
    <w:rsid w:val="587917A0"/>
    <w:rsid w:val="587A4288"/>
    <w:rsid w:val="5880052B"/>
    <w:rsid w:val="588E3967"/>
    <w:rsid w:val="589E7444"/>
    <w:rsid w:val="58AD27D9"/>
    <w:rsid w:val="58B169A2"/>
    <w:rsid w:val="58B9636C"/>
    <w:rsid w:val="58C37133"/>
    <w:rsid w:val="58C93046"/>
    <w:rsid w:val="58D36BCB"/>
    <w:rsid w:val="58D8157C"/>
    <w:rsid w:val="58E11166"/>
    <w:rsid w:val="58E6349C"/>
    <w:rsid w:val="58E83DEC"/>
    <w:rsid w:val="58EF63EE"/>
    <w:rsid w:val="590317F0"/>
    <w:rsid w:val="59075000"/>
    <w:rsid w:val="593559FD"/>
    <w:rsid w:val="594079B2"/>
    <w:rsid w:val="595B45EE"/>
    <w:rsid w:val="596A688E"/>
    <w:rsid w:val="59860400"/>
    <w:rsid w:val="5987482A"/>
    <w:rsid w:val="598A58C2"/>
    <w:rsid w:val="598C6F19"/>
    <w:rsid w:val="599C49A8"/>
    <w:rsid w:val="59A252D5"/>
    <w:rsid w:val="59A36725"/>
    <w:rsid w:val="59AD4E2E"/>
    <w:rsid w:val="59B14918"/>
    <w:rsid w:val="59B21BF9"/>
    <w:rsid w:val="59B45AB9"/>
    <w:rsid w:val="59B80C41"/>
    <w:rsid w:val="59BB4EA3"/>
    <w:rsid w:val="59C02FE0"/>
    <w:rsid w:val="59E9525B"/>
    <w:rsid w:val="59F70BAF"/>
    <w:rsid w:val="5A0627A6"/>
    <w:rsid w:val="5A297D0D"/>
    <w:rsid w:val="5A3C0F08"/>
    <w:rsid w:val="5A3E5B83"/>
    <w:rsid w:val="5A50588C"/>
    <w:rsid w:val="5A5663A3"/>
    <w:rsid w:val="5A5706C7"/>
    <w:rsid w:val="5A571746"/>
    <w:rsid w:val="5A594793"/>
    <w:rsid w:val="5A5B6E89"/>
    <w:rsid w:val="5A6253E3"/>
    <w:rsid w:val="5A641DE9"/>
    <w:rsid w:val="5A746DF6"/>
    <w:rsid w:val="5A8E6670"/>
    <w:rsid w:val="5A912613"/>
    <w:rsid w:val="5A9245E9"/>
    <w:rsid w:val="5A953D41"/>
    <w:rsid w:val="5AA12940"/>
    <w:rsid w:val="5AA75D85"/>
    <w:rsid w:val="5ABC50F4"/>
    <w:rsid w:val="5ACC4940"/>
    <w:rsid w:val="5ACD3CD2"/>
    <w:rsid w:val="5AD7333E"/>
    <w:rsid w:val="5AD86A6D"/>
    <w:rsid w:val="5ADF4325"/>
    <w:rsid w:val="5AE8708E"/>
    <w:rsid w:val="5AEC14F6"/>
    <w:rsid w:val="5AF124A4"/>
    <w:rsid w:val="5B0A4D6B"/>
    <w:rsid w:val="5B141085"/>
    <w:rsid w:val="5B28192B"/>
    <w:rsid w:val="5B342BAD"/>
    <w:rsid w:val="5B392581"/>
    <w:rsid w:val="5B4007EF"/>
    <w:rsid w:val="5B4D1F7C"/>
    <w:rsid w:val="5B51561D"/>
    <w:rsid w:val="5B570E24"/>
    <w:rsid w:val="5B607711"/>
    <w:rsid w:val="5B637E94"/>
    <w:rsid w:val="5B66707B"/>
    <w:rsid w:val="5B673066"/>
    <w:rsid w:val="5B6A48A8"/>
    <w:rsid w:val="5B731FA9"/>
    <w:rsid w:val="5B7400F5"/>
    <w:rsid w:val="5B785E83"/>
    <w:rsid w:val="5B7C1CD1"/>
    <w:rsid w:val="5B9004A9"/>
    <w:rsid w:val="5B907C6C"/>
    <w:rsid w:val="5B9251EF"/>
    <w:rsid w:val="5BAB5BC4"/>
    <w:rsid w:val="5BAC79AD"/>
    <w:rsid w:val="5BB20B74"/>
    <w:rsid w:val="5BB33170"/>
    <w:rsid w:val="5BC677D8"/>
    <w:rsid w:val="5BD0669E"/>
    <w:rsid w:val="5BEB0120"/>
    <w:rsid w:val="5BEC175C"/>
    <w:rsid w:val="5BEF3E44"/>
    <w:rsid w:val="5BEF69FF"/>
    <w:rsid w:val="5C053E62"/>
    <w:rsid w:val="5C064BA0"/>
    <w:rsid w:val="5C07067E"/>
    <w:rsid w:val="5C075BB6"/>
    <w:rsid w:val="5C097C4E"/>
    <w:rsid w:val="5C1A3A93"/>
    <w:rsid w:val="5C235386"/>
    <w:rsid w:val="5C2A4E9F"/>
    <w:rsid w:val="5C37782E"/>
    <w:rsid w:val="5C3B6CFC"/>
    <w:rsid w:val="5C4735D5"/>
    <w:rsid w:val="5C4C2CF4"/>
    <w:rsid w:val="5C6B1600"/>
    <w:rsid w:val="5C6E26BF"/>
    <w:rsid w:val="5C706511"/>
    <w:rsid w:val="5C7D70D1"/>
    <w:rsid w:val="5C8542A8"/>
    <w:rsid w:val="5CA6294E"/>
    <w:rsid w:val="5CCC1DEC"/>
    <w:rsid w:val="5CDB3358"/>
    <w:rsid w:val="5CED4E0C"/>
    <w:rsid w:val="5CEE1DD1"/>
    <w:rsid w:val="5CFF09AB"/>
    <w:rsid w:val="5D034EE9"/>
    <w:rsid w:val="5D0366E8"/>
    <w:rsid w:val="5D08684C"/>
    <w:rsid w:val="5D0A06B6"/>
    <w:rsid w:val="5D1307E8"/>
    <w:rsid w:val="5D212A05"/>
    <w:rsid w:val="5D28584C"/>
    <w:rsid w:val="5D2F4802"/>
    <w:rsid w:val="5D32239D"/>
    <w:rsid w:val="5D3444E6"/>
    <w:rsid w:val="5D3543FB"/>
    <w:rsid w:val="5D3F0BDF"/>
    <w:rsid w:val="5D5B7098"/>
    <w:rsid w:val="5D5D62C9"/>
    <w:rsid w:val="5D611B66"/>
    <w:rsid w:val="5D634782"/>
    <w:rsid w:val="5D654194"/>
    <w:rsid w:val="5D6E1B86"/>
    <w:rsid w:val="5D725A84"/>
    <w:rsid w:val="5D746389"/>
    <w:rsid w:val="5D7706E8"/>
    <w:rsid w:val="5D7D3801"/>
    <w:rsid w:val="5D8A2CFF"/>
    <w:rsid w:val="5D960EE9"/>
    <w:rsid w:val="5D9A0CFA"/>
    <w:rsid w:val="5D9B296A"/>
    <w:rsid w:val="5D9C251B"/>
    <w:rsid w:val="5DA53D05"/>
    <w:rsid w:val="5DB765B6"/>
    <w:rsid w:val="5DC848B4"/>
    <w:rsid w:val="5DD14397"/>
    <w:rsid w:val="5DD3123F"/>
    <w:rsid w:val="5DD45E00"/>
    <w:rsid w:val="5DD564E5"/>
    <w:rsid w:val="5DD71C7A"/>
    <w:rsid w:val="5DD734EC"/>
    <w:rsid w:val="5DDA4F5F"/>
    <w:rsid w:val="5DDF6E6E"/>
    <w:rsid w:val="5DEC05A1"/>
    <w:rsid w:val="5DEE0433"/>
    <w:rsid w:val="5DFD51DB"/>
    <w:rsid w:val="5E0B017F"/>
    <w:rsid w:val="5E0B0848"/>
    <w:rsid w:val="5E1D4A67"/>
    <w:rsid w:val="5E1F2E4C"/>
    <w:rsid w:val="5E237029"/>
    <w:rsid w:val="5E3358BB"/>
    <w:rsid w:val="5E3A3BD1"/>
    <w:rsid w:val="5E4E2212"/>
    <w:rsid w:val="5E4F1C2F"/>
    <w:rsid w:val="5E4F4B48"/>
    <w:rsid w:val="5E5203B8"/>
    <w:rsid w:val="5E53474B"/>
    <w:rsid w:val="5E5D2503"/>
    <w:rsid w:val="5E5D7D0E"/>
    <w:rsid w:val="5E6A5399"/>
    <w:rsid w:val="5E71373F"/>
    <w:rsid w:val="5E717191"/>
    <w:rsid w:val="5E7435D2"/>
    <w:rsid w:val="5E830708"/>
    <w:rsid w:val="5E831398"/>
    <w:rsid w:val="5E85633A"/>
    <w:rsid w:val="5E921A45"/>
    <w:rsid w:val="5E975993"/>
    <w:rsid w:val="5EA75DFF"/>
    <w:rsid w:val="5EB51FDE"/>
    <w:rsid w:val="5EBA4472"/>
    <w:rsid w:val="5EC3227D"/>
    <w:rsid w:val="5EC504C9"/>
    <w:rsid w:val="5EC93320"/>
    <w:rsid w:val="5ECA3D37"/>
    <w:rsid w:val="5EE153F8"/>
    <w:rsid w:val="5EE836CB"/>
    <w:rsid w:val="5EEA322F"/>
    <w:rsid w:val="5EED7893"/>
    <w:rsid w:val="5EF427A1"/>
    <w:rsid w:val="5EFB2125"/>
    <w:rsid w:val="5EFB6F0A"/>
    <w:rsid w:val="5F0A3A61"/>
    <w:rsid w:val="5F3370DF"/>
    <w:rsid w:val="5F683B6E"/>
    <w:rsid w:val="5F684490"/>
    <w:rsid w:val="5F697EE8"/>
    <w:rsid w:val="5F6D06D6"/>
    <w:rsid w:val="5F6E768C"/>
    <w:rsid w:val="5F875C0C"/>
    <w:rsid w:val="5F8A0701"/>
    <w:rsid w:val="5F8F0B9E"/>
    <w:rsid w:val="5F8F267A"/>
    <w:rsid w:val="5F941274"/>
    <w:rsid w:val="5F9A540B"/>
    <w:rsid w:val="5FAB7F08"/>
    <w:rsid w:val="5FB7185B"/>
    <w:rsid w:val="5FB94C48"/>
    <w:rsid w:val="5FBE576C"/>
    <w:rsid w:val="5FDE327E"/>
    <w:rsid w:val="5FEB4E90"/>
    <w:rsid w:val="5FF37587"/>
    <w:rsid w:val="5FF85D1E"/>
    <w:rsid w:val="5FFE57B7"/>
    <w:rsid w:val="60060CD5"/>
    <w:rsid w:val="60085AA3"/>
    <w:rsid w:val="600E362B"/>
    <w:rsid w:val="60183392"/>
    <w:rsid w:val="601A4CB1"/>
    <w:rsid w:val="601B56CB"/>
    <w:rsid w:val="60237FFC"/>
    <w:rsid w:val="602C236D"/>
    <w:rsid w:val="603114E4"/>
    <w:rsid w:val="603967D7"/>
    <w:rsid w:val="603D3325"/>
    <w:rsid w:val="604040A8"/>
    <w:rsid w:val="60470CE3"/>
    <w:rsid w:val="60485D19"/>
    <w:rsid w:val="604D29BA"/>
    <w:rsid w:val="606711B4"/>
    <w:rsid w:val="60673C40"/>
    <w:rsid w:val="606A52D4"/>
    <w:rsid w:val="606C5678"/>
    <w:rsid w:val="607A0897"/>
    <w:rsid w:val="607C3753"/>
    <w:rsid w:val="607F6EAB"/>
    <w:rsid w:val="608D1D4E"/>
    <w:rsid w:val="60911FEF"/>
    <w:rsid w:val="6092569C"/>
    <w:rsid w:val="609D0F5A"/>
    <w:rsid w:val="60AD0357"/>
    <w:rsid w:val="60B004BE"/>
    <w:rsid w:val="60B6381B"/>
    <w:rsid w:val="60BA604C"/>
    <w:rsid w:val="60C302BA"/>
    <w:rsid w:val="60C30855"/>
    <w:rsid w:val="60C338B1"/>
    <w:rsid w:val="60D4742F"/>
    <w:rsid w:val="60D67C80"/>
    <w:rsid w:val="60D95276"/>
    <w:rsid w:val="60E06DEB"/>
    <w:rsid w:val="60E51841"/>
    <w:rsid w:val="61110088"/>
    <w:rsid w:val="611647A0"/>
    <w:rsid w:val="61421EFD"/>
    <w:rsid w:val="614F6F7E"/>
    <w:rsid w:val="615C5041"/>
    <w:rsid w:val="61640524"/>
    <w:rsid w:val="617A6EE7"/>
    <w:rsid w:val="617B616B"/>
    <w:rsid w:val="6182260C"/>
    <w:rsid w:val="6190565E"/>
    <w:rsid w:val="61AA2608"/>
    <w:rsid w:val="61AD68BC"/>
    <w:rsid w:val="61AE786E"/>
    <w:rsid w:val="61B173D2"/>
    <w:rsid w:val="61B25E8F"/>
    <w:rsid w:val="61BC4BE1"/>
    <w:rsid w:val="61C12DE2"/>
    <w:rsid w:val="61D43A2B"/>
    <w:rsid w:val="61E34474"/>
    <w:rsid w:val="61ED6D6A"/>
    <w:rsid w:val="61FF316E"/>
    <w:rsid w:val="62014BDB"/>
    <w:rsid w:val="621542CB"/>
    <w:rsid w:val="621C2930"/>
    <w:rsid w:val="624263A2"/>
    <w:rsid w:val="624A544A"/>
    <w:rsid w:val="625272C3"/>
    <w:rsid w:val="62715337"/>
    <w:rsid w:val="6280204D"/>
    <w:rsid w:val="6290769B"/>
    <w:rsid w:val="62943D08"/>
    <w:rsid w:val="629718F1"/>
    <w:rsid w:val="62A05735"/>
    <w:rsid w:val="62A411F8"/>
    <w:rsid w:val="62A81A26"/>
    <w:rsid w:val="62B0109F"/>
    <w:rsid w:val="62BA7A46"/>
    <w:rsid w:val="62C376AC"/>
    <w:rsid w:val="62CE13CB"/>
    <w:rsid w:val="62D2197B"/>
    <w:rsid w:val="62DB028F"/>
    <w:rsid w:val="62EE4623"/>
    <w:rsid w:val="62F214BD"/>
    <w:rsid w:val="62F6011A"/>
    <w:rsid w:val="62FD2BA9"/>
    <w:rsid w:val="6327422B"/>
    <w:rsid w:val="6328597C"/>
    <w:rsid w:val="633B249F"/>
    <w:rsid w:val="633D1842"/>
    <w:rsid w:val="635123F0"/>
    <w:rsid w:val="63552D76"/>
    <w:rsid w:val="6359778B"/>
    <w:rsid w:val="635B63E3"/>
    <w:rsid w:val="63677698"/>
    <w:rsid w:val="63771D13"/>
    <w:rsid w:val="638C3395"/>
    <w:rsid w:val="63B37325"/>
    <w:rsid w:val="63B82D87"/>
    <w:rsid w:val="63BA3154"/>
    <w:rsid w:val="63CA2E8B"/>
    <w:rsid w:val="63CF097D"/>
    <w:rsid w:val="63D4153E"/>
    <w:rsid w:val="63DA0FA3"/>
    <w:rsid w:val="63DC7755"/>
    <w:rsid w:val="63E43D21"/>
    <w:rsid w:val="63E774B3"/>
    <w:rsid w:val="63F47D2A"/>
    <w:rsid w:val="63F6335E"/>
    <w:rsid w:val="63FE2D33"/>
    <w:rsid w:val="64046427"/>
    <w:rsid w:val="642369FC"/>
    <w:rsid w:val="64254882"/>
    <w:rsid w:val="64264A79"/>
    <w:rsid w:val="642A38B2"/>
    <w:rsid w:val="64304E58"/>
    <w:rsid w:val="64311867"/>
    <w:rsid w:val="64391ED3"/>
    <w:rsid w:val="6445632E"/>
    <w:rsid w:val="64566F9D"/>
    <w:rsid w:val="64596CB3"/>
    <w:rsid w:val="64742B63"/>
    <w:rsid w:val="647949B0"/>
    <w:rsid w:val="647E661E"/>
    <w:rsid w:val="648939AA"/>
    <w:rsid w:val="648C635C"/>
    <w:rsid w:val="649B1AC2"/>
    <w:rsid w:val="649B4C1C"/>
    <w:rsid w:val="64A7467B"/>
    <w:rsid w:val="64B53322"/>
    <w:rsid w:val="64C41B57"/>
    <w:rsid w:val="64C61AF8"/>
    <w:rsid w:val="64C86505"/>
    <w:rsid w:val="64E65F95"/>
    <w:rsid w:val="64EB5728"/>
    <w:rsid w:val="64FB4412"/>
    <w:rsid w:val="64FE700F"/>
    <w:rsid w:val="6500327F"/>
    <w:rsid w:val="6503698F"/>
    <w:rsid w:val="6506609B"/>
    <w:rsid w:val="65083216"/>
    <w:rsid w:val="650A57D3"/>
    <w:rsid w:val="65460728"/>
    <w:rsid w:val="654835A8"/>
    <w:rsid w:val="65733E15"/>
    <w:rsid w:val="65822810"/>
    <w:rsid w:val="65870C45"/>
    <w:rsid w:val="658F6B54"/>
    <w:rsid w:val="659705FF"/>
    <w:rsid w:val="65AA6346"/>
    <w:rsid w:val="65B01B69"/>
    <w:rsid w:val="65B56C47"/>
    <w:rsid w:val="65B7794D"/>
    <w:rsid w:val="65B8262E"/>
    <w:rsid w:val="65BC15EE"/>
    <w:rsid w:val="65CC4C22"/>
    <w:rsid w:val="65D23D59"/>
    <w:rsid w:val="65D4773F"/>
    <w:rsid w:val="65DC5939"/>
    <w:rsid w:val="65DC7985"/>
    <w:rsid w:val="65F14641"/>
    <w:rsid w:val="65F5655C"/>
    <w:rsid w:val="65F64F18"/>
    <w:rsid w:val="65FF118E"/>
    <w:rsid w:val="66052F43"/>
    <w:rsid w:val="66065483"/>
    <w:rsid w:val="6609487E"/>
    <w:rsid w:val="661D25CE"/>
    <w:rsid w:val="66206CF2"/>
    <w:rsid w:val="66265846"/>
    <w:rsid w:val="66287C9C"/>
    <w:rsid w:val="662E4097"/>
    <w:rsid w:val="664805B8"/>
    <w:rsid w:val="665572E9"/>
    <w:rsid w:val="665B14BD"/>
    <w:rsid w:val="665B55EA"/>
    <w:rsid w:val="66641D58"/>
    <w:rsid w:val="66655F85"/>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E10E78"/>
    <w:rsid w:val="66E617C5"/>
    <w:rsid w:val="66E910C9"/>
    <w:rsid w:val="670C6D27"/>
    <w:rsid w:val="670D67CE"/>
    <w:rsid w:val="67105BAB"/>
    <w:rsid w:val="671B1631"/>
    <w:rsid w:val="672C45D9"/>
    <w:rsid w:val="67302DC3"/>
    <w:rsid w:val="67316C6B"/>
    <w:rsid w:val="6734198F"/>
    <w:rsid w:val="674318B2"/>
    <w:rsid w:val="674D4B22"/>
    <w:rsid w:val="67570422"/>
    <w:rsid w:val="675D31B4"/>
    <w:rsid w:val="67611575"/>
    <w:rsid w:val="676D2F4B"/>
    <w:rsid w:val="677A266A"/>
    <w:rsid w:val="677C1A81"/>
    <w:rsid w:val="677E7198"/>
    <w:rsid w:val="678A426A"/>
    <w:rsid w:val="67914BE1"/>
    <w:rsid w:val="679305CA"/>
    <w:rsid w:val="679348FA"/>
    <w:rsid w:val="67A01F16"/>
    <w:rsid w:val="67A2026E"/>
    <w:rsid w:val="67AD0902"/>
    <w:rsid w:val="67B163D1"/>
    <w:rsid w:val="67B21931"/>
    <w:rsid w:val="67CF3BE0"/>
    <w:rsid w:val="67D1123C"/>
    <w:rsid w:val="67DE0B68"/>
    <w:rsid w:val="67F45538"/>
    <w:rsid w:val="67F67092"/>
    <w:rsid w:val="68005932"/>
    <w:rsid w:val="680239EB"/>
    <w:rsid w:val="680722DA"/>
    <w:rsid w:val="68075891"/>
    <w:rsid w:val="68096B99"/>
    <w:rsid w:val="681C6C95"/>
    <w:rsid w:val="682211D1"/>
    <w:rsid w:val="68445430"/>
    <w:rsid w:val="685B0620"/>
    <w:rsid w:val="685C6395"/>
    <w:rsid w:val="686318DD"/>
    <w:rsid w:val="68635145"/>
    <w:rsid w:val="686D19A4"/>
    <w:rsid w:val="687914A4"/>
    <w:rsid w:val="687A2E65"/>
    <w:rsid w:val="687F607E"/>
    <w:rsid w:val="6887281F"/>
    <w:rsid w:val="688B4E92"/>
    <w:rsid w:val="689565AD"/>
    <w:rsid w:val="689A41FB"/>
    <w:rsid w:val="689E57F0"/>
    <w:rsid w:val="68A34C5C"/>
    <w:rsid w:val="68C93BC5"/>
    <w:rsid w:val="68CA6EAF"/>
    <w:rsid w:val="68D10697"/>
    <w:rsid w:val="68D507C6"/>
    <w:rsid w:val="68E24981"/>
    <w:rsid w:val="68E62C62"/>
    <w:rsid w:val="68ED60A5"/>
    <w:rsid w:val="69123F86"/>
    <w:rsid w:val="691C1D81"/>
    <w:rsid w:val="691C3525"/>
    <w:rsid w:val="691C4B46"/>
    <w:rsid w:val="69216128"/>
    <w:rsid w:val="69250799"/>
    <w:rsid w:val="69280874"/>
    <w:rsid w:val="692E74C3"/>
    <w:rsid w:val="69307671"/>
    <w:rsid w:val="695D6B21"/>
    <w:rsid w:val="69611EE7"/>
    <w:rsid w:val="69621F5B"/>
    <w:rsid w:val="696C708E"/>
    <w:rsid w:val="696F4D5D"/>
    <w:rsid w:val="69850877"/>
    <w:rsid w:val="698C13C5"/>
    <w:rsid w:val="69EB1E1E"/>
    <w:rsid w:val="69F0745A"/>
    <w:rsid w:val="6A0D20F2"/>
    <w:rsid w:val="6A1757B7"/>
    <w:rsid w:val="6A1A2066"/>
    <w:rsid w:val="6A1D59EC"/>
    <w:rsid w:val="6A247F72"/>
    <w:rsid w:val="6A2E5EF8"/>
    <w:rsid w:val="6A3E2393"/>
    <w:rsid w:val="6A435B92"/>
    <w:rsid w:val="6A444DB8"/>
    <w:rsid w:val="6A471880"/>
    <w:rsid w:val="6A4C28F4"/>
    <w:rsid w:val="6A4D4828"/>
    <w:rsid w:val="6A516AC3"/>
    <w:rsid w:val="6A5303BA"/>
    <w:rsid w:val="6A5B28ED"/>
    <w:rsid w:val="6A677080"/>
    <w:rsid w:val="6A711183"/>
    <w:rsid w:val="6A720BCF"/>
    <w:rsid w:val="6A7B4B9C"/>
    <w:rsid w:val="6AAE7116"/>
    <w:rsid w:val="6AAF014C"/>
    <w:rsid w:val="6ABD60AB"/>
    <w:rsid w:val="6AC07690"/>
    <w:rsid w:val="6ACB082B"/>
    <w:rsid w:val="6AD3247E"/>
    <w:rsid w:val="6AE4699C"/>
    <w:rsid w:val="6AED1BE8"/>
    <w:rsid w:val="6AF00853"/>
    <w:rsid w:val="6AF317C6"/>
    <w:rsid w:val="6B004C6B"/>
    <w:rsid w:val="6B09696B"/>
    <w:rsid w:val="6B2B0EFD"/>
    <w:rsid w:val="6B2C13E4"/>
    <w:rsid w:val="6B2D2EEB"/>
    <w:rsid w:val="6B322952"/>
    <w:rsid w:val="6B410613"/>
    <w:rsid w:val="6B493E2C"/>
    <w:rsid w:val="6B4B0A4C"/>
    <w:rsid w:val="6B4B36C9"/>
    <w:rsid w:val="6B4E75E6"/>
    <w:rsid w:val="6B50310B"/>
    <w:rsid w:val="6B5045E2"/>
    <w:rsid w:val="6B5B3B9E"/>
    <w:rsid w:val="6B5C4553"/>
    <w:rsid w:val="6B692897"/>
    <w:rsid w:val="6B695848"/>
    <w:rsid w:val="6B6A1A57"/>
    <w:rsid w:val="6B6D1317"/>
    <w:rsid w:val="6B730045"/>
    <w:rsid w:val="6B736A2E"/>
    <w:rsid w:val="6B762264"/>
    <w:rsid w:val="6B7964E9"/>
    <w:rsid w:val="6B8642C7"/>
    <w:rsid w:val="6B874340"/>
    <w:rsid w:val="6B884219"/>
    <w:rsid w:val="6B90781F"/>
    <w:rsid w:val="6BA6663C"/>
    <w:rsid w:val="6BA9194F"/>
    <w:rsid w:val="6BAF473A"/>
    <w:rsid w:val="6BB07973"/>
    <w:rsid w:val="6BCA7437"/>
    <w:rsid w:val="6BE727F5"/>
    <w:rsid w:val="6C001608"/>
    <w:rsid w:val="6C08064C"/>
    <w:rsid w:val="6C0858B3"/>
    <w:rsid w:val="6C132D21"/>
    <w:rsid w:val="6C240DF3"/>
    <w:rsid w:val="6C45610F"/>
    <w:rsid w:val="6C59472D"/>
    <w:rsid w:val="6C5A4564"/>
    <w:rsid w:val="6C5E2B25"/>
    <w:rsid w:val="6C603744"/>
    <w:rsid w:val="6C635845"/>
    <w:rsid w:val="6C637CCF"/>
    <w:rsid w:val="6C6B4F91"/>
    <w:rsid w:val="6C7802EB"/>
    <w:rsid w:val="6C89456C"/>
    <w:rsid w:val="6C9143CB"/>
    <w:rsid w:val="6CA20D5B"/>
    <w:rsid w:val="6CA75F1D"/>
    <w:rsid w:val="6CAF7564"/>
    <w:rsid w:val="6CB71894"/>
    <w:rsid w:val="6CB91201"/>
    <w:rsid w:val="6CC13ACE"/>
    <w:rsid w:val="6CD63FB3"/>
    <w:rsid w:val="6CD73CDB"/>
    <w:rsid w:val="6CD91323"/>
    <w:rsid w:val="6CFE035F"/>
    <w:rsid w:val="6D056EA6"/>
    <w:rsid w:val="6D1766A9"/>
    <w:rsid w:val="6D19067C"/>
    <w:rsid w:val="6D1F423E"/>
    <w:rsid w:val="6D221E52"/>
    <w:rsid w:val="6D227835"/>
    <w:rsid w:val="6D231354"/>
    <w:rsid w:val="6D2834C8"/>
    <w:rsid w:val="6D2F1F0B"/>
    <w:rsid w:val="6D343A12"/>
    <w:rsid w:val="6D3C6626"/>
    <w:rsid w:val="6D5D0DB5"/>
    <w:rsid w:val="6D6855B1"/>
    <w:rsid w:val="6D6C5D15"/>
    <w:rsid w:val="6D7B4AB7"/>
    <w:rsid w:val="6D836C02"/>
    <w:rsid w:val="6D89784B"/>
    <w:rsid w:val="6D8C7F73"/>
    <w:rsid w:val="6D9057BE"/>
    <w:rsid w:val="6D9E0566"/>
    <w:rsid w:val="6DBE7F27"/>
    <w:rsid w:val="6DC262E7"/>
    <w:rsid w:val="6DD70DD8"/>
    <w:rsid w:val="6DED1766"/>
    <w:rsid w:val="6DF43BD4"/>
    <w:rsid w:val="6E0E1FAB"/>
    <w:rsid w:val="6E2143FB"/>
    <w:rsid w:val="6E295363"/>
    <w:rsid w:val="6E317378"/>
    <w:rsid w:val="6E3A4724"/>
    <w:rsid w:val="6E3E5591"/>
    <w:rsid w:val="6E4215C6"/>
    <w:rsid w:val="6E4B0158"/>
    <w:rsid w:val="6E4D611F"/>
    <w:rsid w:val="6E567C9E"/>
    <w:rsid w:val="6E635028"/>
    <w:rsid w:val="6E636A71"/>
    <w:rsid w:val="6E68362E"/>
    <w:rsid w:val="6E685B0A"/>
    <w:rsid w:val="6E687486"/>
    <w:rsid w:val="6E73404A"/>
    <w:rsid w:val="6E7355AA"/>
    <w:rsid w:val="6E7D300B"/>
    <w:rsid w:val="6E823708"/>
    <w:rsid w:val="6E8A3EFB"/>
    <w:rsid w:val="6E920B5B"/>
    <w:rsid w:val="6E990B16"/>
    <w:rsid w:val="6E995AB6"/>
    <w:rsid w:val="6EA80CC5"/>
    <w:rsid w:val="6EB169D3"/>
    <w:rsid w:val="6EB21539"/>
    <w:rsid w:val="6EB829B1"/>
    <w:rsid w:val="6EB978A9"/>
    <w:rsid w:val="6ECC3A24"/>
    <w:rsid w:val="6ED86D3E"/>
    <w:rsid w:val="6EE9744F"/>
    <w:rsid w:val="6EEC3F7C"/>
    <w:rsid w:val="6EF3602C"/>
    <w:rsid w:val="6EFE1485"/>
    <w:rsid w:val="6F0247B3"/>
    <w:rsid w:val="6F031F8E"/>
    <w:rsid w:val="6F09008D"/>
    <w:rsid w:val="6F0D382C"/>
    <w:rsid w:val="6F2632E8"/>
    <w:rsid w:val="6F30363A"/>
    <w:rsid w:val="6F3316E5"/>
    <w:rsid w:val="6F3F40F9"/>
    <w:rsid w:val="6F424B2F"/>
    <w:rsid w:val="6F5E0205"/>
    <w:rsid w:val="6F632569"/>
    <w:rsid w:val="6F635E50"/>
    <w:rsid w:val="6F6F14E1"/>
    <w:rsid w:val="6F76254B"/>
    <w:rsid w:val="6F7C40AC"/>
    <w:rsid w:val="6F8040F4"/>
    <w:rsid w:val="6F877B03"/>
    <w:rsid w:val="6F905BB3"/>
    <w:rsid w:val="6F9A3007"/>
    <w:rsid w:val="6FA629D4"/>
    <w:rsid w:val="6FA75ADB"/>
    <w:rsid w:val="6FB77ED4"/>
    <w:rsid w:val="6FBD3BBF"/>
    <w:rsid w:val="6FBD4D2F"/>
    <w:rsid w:val="6FBF4710"/>
    <w:rsid w:val="6FC9109F"/>
    <w:rsid w:val="6FCC6779"/>
    <w:rsid w:val="6FDB518F"/>
    <w:rsid w:val="6FE529ED"/>
    <w:rsid w:val="6FF733A7"/>
    <w:rsid w:val="70003DD9"/>
    <w:rsid w:val="70072915"/>
    <w:rsid w:val="70172090"/>
    <w:rsid w:val="70195E88"/>
    <w:rsid w:val="701D43BA"/>
    <w:rsid w:val="702B6F43"/>
    <w:rsid w:val="7032079E"/>
    <w:rsid w:val="703C186A"/>
    <w:rsid w:val="704C34F0"/>
    <w:rsid w:val="70570007"/>
    <w:rsid w:val="705843B4"/>
    <w:rsid w:val="7058635C"/>
    <w:rsid w:val="70611FB0"/>
    <w:rsid w:val="70655A58"/>
    <w:rsid w:val="706A37E5"/>
    <w:rsid w:val="70822BAD"/>
    <w:rsid w:val="708746BC"/>
    <w:rsid w:val="708A15C0"/>
    <w:rsid w:val="708F7F54"/>
    <w:rsid w:val="709E3D85"/>
    <w:rsid w:val="70A36A35"/>
    <w:rsid w:val="70A708B1"/>
    <w:rsid w:val="70A97192"/>
    <w:rsid w:val="70AC660B"/>
    <w:rsid w:val="70B17138"/>
    <w:rsid w:val="70BB2EF0"/>
    <w:rsid w:val="70BC2801"/>
    <w:rsid w:val="70C6646C"/>
    <w:rsid w:val="70D82DC7"/>
    <w:rsid w:val="70E4685D"/>
    <w:rsid w:val="70FC2D1E"/>
    <w:rsid w:val="71014479"/>
    <w:rsid w:val="71015D6B"/>
    <w:rsid w:val="71067D7F"/>
    <w:rsid w:val="71115386"/>
    <w:rsid w:val="71126908"/>
    <w:rsid w:val="71151975"/>
    <w:rsid w:val="711D1189"/>
    <w:rsid w:val="712A2C1F"/>
    <w:rsid w:val="712A5215"/>
    <w:rsid w:val="712F2B3D"/>
    <w:rsid w:val="71336A65"/>
    <w:rsid w:val="713A6008"/>
    <w:rsid w:val="7144725F"/>
    <w:rsid w:val="7148395C"/>
    <w:rsid w:val="714B215B"/>
    <w:rsid w:val="714E2D72"/>
    <w:rsid w:val="71545B37"/>
    <w:rsid w:val="71570E43"/>
    <w:rsid w:val="71573E01"/>
    <w:rsid w:val="716F00B2"/>
    <w:rsid w:val="71702748"/>
    <w:rsid w:val="71867894"/>
    <w:rsid w:val="71920F6D"/>
    <w:rsid w:val="7196106A"/>
    <w:rsid w:val="719E0160"/>
    <w:rsid w:val="719F7A78"/>
    <w:rsid w:val="71A03079"/>
    <w:rsid w:val="71AD22C0"/>
    <w:rsid w:val="71B623F6"/>
    <w:rsid w:val="71B84778"/>
    <w:rsid w:val="71C7540C"/>
    <w:rsid w:val="71E857A5"/>
    <w:rsid w:val="71F64A63"/>
    <w:rsid w:val="71F870B8"/>
    <w:rsid w:val="72021233"/>
    <w:rsid w:val="720B2A1D"/>
    <w:rsid w:val="72197AB8"/>
    <w:rsid w:val="72502F9F"/>
    <w:rsid w:val="7251515C"/>
    <w:rsid w:val="725817D3"/>
    <w:rsid w:val="726E6AD4"/>
    <w:rsid w:val="727C422C"/>
    <w:rsid w:val="7288329F"/>
    <w:rsid w:val="728D72D4"/>
    <w:rsid w:val="728E71EE"/>
    <w:rsid w:val="7292045A"/>
    <w:rsid w:val="72974DBE"/>
    <w:rsid w:val="72983FF8"/>
    <w:rsid w:val="72985E1E"/>
    <w:rsid w:val="72A20C20"/>
    <w:rsid w:val="72AC5E95"/>
    <w:rsid w:val="72B57AED"/>
    <w:rsid w:val="72BF43E3"/>
    <w:rsid w:val="72C13ED7"/>
    <w:rsid w:val="72CF1AC7"/>
    <w:rsid w:val="72D51F74"/>
    <w:rsid w:val="72DC0F93"/>
    <w:rsid w:val="72DD2607"/>
    <w:rsid w:val="72E42AFA"/>
    <w:rsid w:val="72E85578"/>
    <w:rsid w:val="72EB4466"/>
    <w:rsid w:val="72FD426E"/>
    <w:rsid w:val="73043CFC"/>
    <w:rsid w:val="7317244F"/>
    <w:rsid w:val="732B736C"/>
    <w:rsid w:val="732C334F"/>
    <w:rsid w:val="733501BF"/>
    <w:rsid w:val="734F0C79"/>
    <w:rsid w:val="734F4185"/>
    <w:rsid w:val="73520620"/>
    <w:rsid w:val="73536078"/>
    <w:rsid w:val="7363274A"/>
    <w:rsid w:val="73691A4A"/>
    <w:rsid w:val="7371152B"/>
    <w:rsid w:val="73777B4D"/>
    <w:rsid w:val="738A6895"/>
    <w:rsid w:val="738D1AFA"/>
    <w:rsid w:val="73917325"/>
    <w:rsid w:val="7395427D"/>
    <w:rsid w:val="73AE5485"/>
    <w:rsid w:val="73B1087F"/>
    <w:rsid w:val="73BC7089"/>
    <w:rsid w:val="73BE7067"/>
    <w:rsid w:val="73E406FD"/>
    <w:rsid w:val="73E52294"/>
    <w:rsid w:val="73EC5464"/>
    <w:rsid w:val="73F50355"/>
    <w:rsid w:val="73FF2D64"/>
    <w:rsid w:val="74137154"/>
    <w:rsid w:val="741819AA"/>
    <w:rsid w:val="7421310D"/>
    <w:rsid w:val="74257F79"/>
    <w:rsid w:val="74273820"/>
    <w:rsid w:val="7427471C"/>
    <w:rsid w:val="74281B3F"/>
    <w:rsid w:val="742D7CD7"/>
    <w:rsid w:val="74355B0B"/>
    <w:rsid w:val="743C33B0"/>
    <w:rsid w:val="743C7157"/>
    <w:rsid w:val="743C71DA"/>
    <w:rsid w:val="74416F54"/>
    <w:rsid w:val="744B354F"/>
    <w:rsid w:val="7450294E"/>
    <w:rsid w:val="74543139"/>
    <w:rsid w:val="74672BF8"/>
    <w:rsid w:val="746B732F"/>
    <w:rsid w:val="746E18CB"/>
    <w:rsid w:val="746F3904"/>
    <w:rsid w:val="748D52FA"/>
    <w:rsid w:val="74993216"/>
    <w:rsid w:val="74A25132"/>
    <w:rsid w:val="74B44784"/>
    <w:rsid w:val="74B808BF"/>
    <w:rsid w:val="74C03187"/>
    <w:rsid w:val="74E427B4"/>
    <w:rsid w:val="74E4756E"/>
    <w:rsid w:val="74ED19FF"/>
    <w:rsid w:val="75084E8F"/>
    <w:rsid w:val="7509261E"/>
    <w:rsid w:val="75202656"/>
    <w:rsid w:val="752231CE"/>
    <w:rsid w:val="753F3D3B"/>
    <w:rsid w:val="754723D0"/>
    <w:rsid w:val="75482D09"/>
    <w:rsid w:val="75633812"/>
    <w:rsid w:val="756F29D2"/>
    <w:rsid w:val="75752B04"/>
    <w:rsid w:val="758849E0"/>
    <w:rsid w:val="758910BB"/>
    <w:rsid w:val="75920C70"/>
    <w:rsid w:val="75955DA9"/>
    <w:rsid w:val="759601E2"/>
    <w:rsid w:val="75977910"/>
    <w:rsid w:val="759F2A35"/>
    <w:rsid w:val="75AD4ED0"/>
    <w:rsid w:val="75B15C41"/>
    <w:rsid w:val="75CC5191"/>
    <w:rsid w:val="75CC694A"/>
    <w:rsid w:val="75D12923"/>
    <w:rsid w:val="75D173F4"/>
    <w:rsid w:val="75EA364B"/>
    <w:rsid w:val="75F20996"/>
    <w:rsid w:val="75F65644"/>
    <w:rsid w:val="75F96973"/>
    <w:rsid w:val="760A4340"/>
    <w:rsid w:val="76123E1D"/>
    <w:rsid w:val="761270F3"/>
    <w:rsid w:val="761724E5"/>
    <w:rsid w:val="762545DB"/>
    <w:rsid w:val="762A17C0"/>
    <w:rsid w:val="762B7A6C"/>
    <w:rsid w:val="762E6798"/>
    <w:rsid w:val="763E6F8E"/>
    <w:rsid w:val="76425118"/>
    <w:rsid w:val="764838B9"/>
    <w:rsid w:val="764B15DA"/>
    <w:rsid w:val="764C09B4"/>
    <w:rsid w:val="764F5A52"/>
    <w:rsid w:val="76521C57"/>
    <w:rsid w:val="766163C1"/>
    <w:rsid w:val="76665926"/>
    <w:rsid w:val="766A4A0D"/>
    <w:rsid w:val="768C454B"/>
    <w:rsid w:val="7692667A"/>
    <w:rsid w:val="76982273"/>
    <w:rsid w:val="769A7352"/>
    <w:rsid w:val="769C4619"/>
    <w:rsid w:val="76A177B8"/>
    <w:rsid w:val="76AD2761"/>
    <w:rsid w:val="76B64E53"/>
    <w:rsid w:val="76B8001A"/>
    <w:rsid w:val="76B81599"/>
    <w:rsid w:val="76B97D11"/>
    <w:rsid w:val="76BB2F21"/>
    <w:rsid w:val="76BC314A"/>
    <w:rsid w:val="76C12918"/>
    <w:rsid w:val="76CC16BA"/>
    <w:rsid w:val="76CF29D3"/>
    <w:rsid w:val="76E91124"/>
    <w:rsid w:val="76EB0D11"/>
    <w:rsid w:val="76EC51FD"/>
    <w:rsid w:val="76F410B8"/>
    <w:rsid w:val="76F70779"/>
    <w:rsid w:val="77001F24"/>
    <w:rsid w:val="770A6C33"/>
    <w:rsid w:val="771A04D1"/>
    <w:rsid w:val="771B67DF"/>
    <w:rsid w:val="771E64D7"/>
    <w:rsid w:val="77240552"/>
    <w:rsid w:val="77272CAB"/>
    <w:rsid w:val="772B4341"/>
    <w:rsid w:val="77451578"/>
    <w:rsid w:val="774963F2"/>
    <w:rsid w:val="77576666"/>
    <w:rsid w:val="77636E18"/>
    <w:rsid w:val="776564EF"/>
    <w:rsid w:val="776709A1"/>
    <w:rsid w:val="77674898"/>
    <w:rsid w:val="77692EA3"/>
    <w:rsid w:val="77695538"/>
    <w:rsid w:val="7773758E"/>
    <w:rsid w:val="77825248"/>
    <w:rsid w:val="7785098B"/>
    <w:rsid w:val="77870D91"/>
    <w:rsid w:val="778A3229"/>
    <w:rsid w:val="779258CC"/>
    <w:rsid w:val="7794068F"/>
    <w:rsid w:val="779A012A"/>
    <w:rsid w:val="779A096B"/>
    <w:rsid w:val="779B52FF"/>
    <w:rsid w:val="779C011D"/>
    <w:rsid w:val="77A00E75"/>
    <w:rsid w:val="77A80D17"/>
    <w:rsid w:val="77B841F3"/>
    <w:rsid w:val="77C078B1"/>
    <w:rsid w:val="77CE7C36"/>
    <w:rsid w:val="77E537F1"/>
    <w:rsid w:val="77E66E3C"/>
    <w:rsid w:val="77E84D6F"/>
    <w:rsid w:val="77F3789A"/>
    <w:rsid w:val="77F70588"/>
    <w:rsid w:val="77F71324"/>
    <w:rsid w:val="78005A86"/>
    <w:rsid w:val="78011BF1"/>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A90B04"/>
    <w:rsid w:val="78B0552C"/>
    <w:rsid w:val="78C34D95"/>
    <w:rsid w:val="78C53485"/>
    <w:rsid w:val="78C6693F"/>
    <w:rsid w:val="78C76A01"/>
    <w:rsid w:val="78C9386A"/>
    <w:rsid w:val="78CF6283"/>
    <w:rsid w:val="78DA30DC"/>
    <w:rsid w:val="78EB5FB1"/>
    <w:rsid w:val="78EC45D8"/>
    <w:rsid w:val="78EC6DF0"/>
    <w:rsid w:val="78F02AF8"/>
    <w:rsid w:val="78F5335B"/>
    <w:rsid w:val="78F554EB"/>
    <w:rsid w:val="78FF5EC9"/>
    <w:rsid w:val="791843E7"/>
    <w:rsid w:val="79233426"/>
    <w:rsid w:val="79260F03"/>
    <w:rsid w:val="792E73F2"/>
    <w:rsid w:val="79395A92"/>
    <w:rsid w:val="793C6522"/>
    <w:rsid w:val="794008FB"/>
    <w:rsid w:val="79412D41"/>
    <w:rsid w:val="794708D9"/>
    <w:rsid w:val="794B21A1"/>
    <w:rsid w:val="7964574A"/>
    <w:rsid w:val="79804706"/>
    <w:rsid w:val="79835FC2"/>
    <w:rsid w:val="79840597"/>
    <w:rsid w:val="79846671"/>
    <w:rsid w:val="79941CF2"/>
    <w:rsid w:val="79973382"/>
    <w:rsid w:val="79B4353E"/>
    <w:rsid w:val="79C07B43"/>
    <w:rsid w:val="79C832AC"/>
    <w:rsid w:val="79D33056"/>
    <w:rsid w:val="79D715DF"/>
    <w:rsid w:val="79D85AB0"/>
    <w:rsid w:val="79E16F93"/>
    <w:rsid w:val="79E701E5"/>
    <w:rsid w:val="79EC0256"/>
    <w:rsid w:val="79F60153"/>
    <w:rsid w:val="79FB6E2C"/>
    <w:rsid w:val="79FF7B91"/>
    <w:rsid w:val="7A36322F"/>
    <w:rsid w:val="7A431242"/>
    <w:rsid w:val="7A444657"/>
    <w:rsid w:val="7A450F30"/>
    <w:rsid w:val="7A4B3D21"/>
    <w:rsid w:val="7A4C2D60"/>
    <w:rsid w:val="7A5E0869"/>
    <w:rsid w:val="7A69432B"/>
    <w:rsid w:val="7A6E4BF5"/>
    <w:rsid w:val="7A6E5088"/>
    <w:rsid w:val="7A7F4A1E"/>
    <w:rsid w:val="7A8246BA"/>
    <w:rsid w:val="7A851D5D"/>
    <w:rsid w:val="7A8A2267"/>
    <w:rsid w:val="7AA07F3B"/>
    <w:rsid w:val="7AAF4757"/>
    <w:rsid w:val="7AB53126"/>
    <w:rsid w:val="7AB76FE8"/>
    <w:rsid w:val="7AB8122B"/>
    <w:rsid w:val="7ACC526F"/>
    <w:rsid w:val="7AD268E2"/>
    <w:rsid w:val="7ADC0B33"/>
    <w:rsid w:val="7AE14C19"/>
    <w:rsid w:val="7AE53859"/>
    <w:rsid w:val="7AE727D9"/>
    <w:rsid w:val="7AEA174E"/>
    <w:rsid w:val="7B05641A"/>
    <w:rsid w:val="7B0B692F"/>
    <w:rsid w:val="7B274176"/>
    <w:rsid w:val="7B3057E4"/>
    <w:rsid w:val="7B306163"/>
    <w:rsid w:val="7B364C38"/>
    <w:rsid w:val="7B3E17AA"/>
    <w:rsid w:val="7B401C79"/>
    <w:rsid w:val="7B440ED6"/>
    <w:rsid w:val="7B4678D7"/>
    <w:rsid w:val="7B4B2A93"/>
    <w:rsid w:val="7B516F3E"/>
    <w:rsid w:val="7B527515"/>
    <w:rsid w:val="7B78553B"/>
    <w:rsid w:val="7B786809"/>
    <w:rsid w:val="7B7A004F"/>
    <w:rsid w:val="7B890A24"/>
    <w:rsid w:val="7B8A4A8A"/>
    <w:rsid w:val="7BA07B7F"/>
    <w:rsid w:val="7BAA485C"/>
    <w:rsid w:val="7BAD1591"/>
    <w:rsid w:val="7BCD64C2"/>
    <w:rsid w:val="7BD3716B"/>
    <w:rsid w:val="7BEC2711"/>
    <w:rsid w:val="7BF55850"/>
    <w:rsid w:val="7C1054B7"/>
    <w:rsid w:val="7C131E53"/>
    <w:rsid w:val="7C261982"/>
    <w:rsid w:val="7C26369C"/>
    <w:rsid w:val="7C2A465C"/>
    <w:rsid w:val="7C2E06D8"/>
    <w:rsid w:val="7C305879"/>
    <w:rsid w:val="7C34521A"/>
    <w:rsid w:val="7C4067F6"/>
    <w:rsid w:val="7C4674BA"/>
    <w:rsid w:val="7C4A2BD1"/>
    <w:rsid w:val="7C4C0053"/>
    <w:rsid w:val="7C576C70"/>
    <w:rsid w:val="7C6E4349"/>
    <w:rsid w:val="7C77043F"/>
    <w:rsid w:val="7C8A7CDC"/>
    <w:rsid w:val="7C9B5288"/>
    <w:rsid w:val="7C9E5A24"/>
    <w:rsid w:val="7CA745A1"/>
    <w:rsid w:val="7CAF4DCB"/>
    <w:rsid w:val="7CB4006B"/>
    <w:rsid w:val="7CB93ABB"/>
    <w:rsid w:val="7CC475DB"/>
    <w:rsid w:val="7CD36BD6"/>
    <w:rsid w:val="7CDE3831"/>
    <w:rsid w:val="7CE656F0"/>
    <w:rsid w:val="7CED34FF"/>
    <w:rsid w:val="7CEE5458"/>
    <w:rsid w:val="7CF26588"/>
    <w:rsid w:val="7CF565D7"/>
    <w:rsid w:val="7CF7605D"/>
    <w:rsid w:val="7CF867A7"/>
    <w:rsid w:val="7CFA3A46"/>
    <w:rsid w:val="7CFC78A1"/>
    <w:rsid w:val="7D0F5720"/>
    <w:rsid w:val="7D24652E"/>
    <w:rsid w:val="7D2561FD"/>
    <w:rsid w:val="7D2E198F"/>
    <w:rsid w:val="7D342E03"/>
    <w:rsid w:val="7D3B3737"/>
    <w:rsid w:val="7D3D73AF"/>
    <w:rsid w:val="7D3F6E5D"/>
    <w:rsid w:val="7D5052A6"/>
    <w:rsid w:val="7D514310"/>
    <w:rsid w:val="7D5B27C9"/>
    <w:rsid w:val="7D62117D"/>
    <w:rsid w:val="7D6B7F02"/>
    <w:rsid w:val="7D834A16"/>
    <w:rsid w:val="7D9D0A97"/>
    <w:rsid w:val="7D9D438F"/>
    <w:rsid w:val="7DA514D2"/>
    <w:rsid w:val="7DAE6BE3"/>
    <w:rsid w:val="7DCD1A27"/>
    <w:rsid w:val="7DCD4EB5"/>
    <w:rsid w:val="7DDF20BC"/>
    <w:rsid w:val="7DE07962"/>
    <w:rsid w:val="7DE34955"/>
    <w:rsid w:val="7DFF1E31"/>
    <w:rsid w:val="7E0565CD"/>
    <w:rsid w:val="7E090313"/>
    <w:rsid w:val="7E097A5B"/>
    <w:rsid w:val="7E3E0FEC"/>
    <w:rsid w:val="7E3E1EF2"/>
    <w:rsid w:val="7E566EA2"/>
    <w:rsid w:val="7E5B15D2"/>
    <w:rsid w:val="7E5B76B4"/>
    <w:rsid w:val="7E5C1ABA"/>
    <w:rsid w:val="7E61281D"/>
    <w:rsid w:val="7E622778"/>
    <w:rsid w:val="7E726401"/>
    <w:rsid w:val="7E756346"/>
    <w:rsid w:val="7E7D055C"/>
    <w:rsid w:val="7E8104AE"/>
    <w:rsid w:val="7E85174A"/>
    <w:rsid w:val="7E8B68B9"/>
    <w:rsid w:val="7EA77314"/>
    <w:rsid w:val="7EAA7C26"/>
    <w:rsid w:val="7EAF1FAA"/>
    <w:rsid w:val="7EB4653A"/>
    <w:rsid w:val="7EBD44C4"/>
    <w:rsid w:val="7EC478B9"/>
    <w:rsid w:val="7ECA4601"/>
    <w:rsid w:val="7ECE7C95"/>
    <w:rsid w:val="7EDC22AD"/>
    <w:rsid w:val="7EDE4C34"/>
    <w:rsid w:val="7EE34086"/>
    <w:rsid w:val="7EE55F89"/>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54370"/>
    <w:rsid w:val="7F397345"/>
    <w:rsid w:val="7F4D1868"/>
    <w:rsid w:val="7F4D3BF2"/>
    <w:rsid w:val="7F542B37"/>
    <w:rsid w:val="7F57085D"/>
    <w:rsid w:val="7F6A77AB"/>
    <w:rsid w:val="7F6B2248"/>
    <w:rsid w:val="7F725E7C"/>
    <w:rsid w:val="7F761ADC"/>
    <w:rsid w:val="7F7D7A8E"/>
    <w:rsid w:val="7F872588"/>
    <w:rsid w:val="7F8725BA"/>
    <w:rsid w:val="7F8C6A8F"/>
    <w:rsid w:val="7F994DB5"/>
    <w:rsid w:val="7F9C175D"/>
    <w:rsid w:val="7F9F773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31"/>
    <w:basedOn w:val="25"/>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7">
    <w:name w:val="font41"/>
    <w:basedOn w:val="25"/>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8">
    <w:name w:val="font11"/>
    <w:basedOn w:val="25"/>
    <w:qFormat/>
    <w:uiPriority w:val="0"/>
    <w:rPr>
      <w:rFonts w:ascii="Symbol" w:hAnsi="Symbol" w:cs="Symbol"/>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2024-08-09T08:34:36Z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2C76AEB552B54F80A12B88DD3D57EA5C</vt:lpwstr>
  </property>
</Properties>
</file>